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p>
      <w:r>
        <w:pict>
          <v:rect style="width:0;height:1.5pt" o:hralign="center" o:hrstd="t" o:hr="t"/>
        </w:pict>
      </w:r>
    </w:p>
    <w:bookmarkEnd w:id="18"/>
    <w:bookmarkStart w:id="20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19"/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8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min_data_in_leaf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early_stopping_rounds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n_estimators</w:t>
                  </w:r>
                  <w:r>
                    <w:t xml:space="preserve"> </w:t>
                  </w:r>
                  <w:r>
                    <w:t xml:space="preserve">(óptimo)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412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1"/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3"/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M5 (10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5"/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ferencias-suplementarias"/>
    <w:p>
      <w:pPr>
        <w:pStyle w:val="Heading1"/>
      </w:pPr>
      <w:r>
        <w:t xml:space="preserve">Referencias Suplementarias</w:t>
      </w:r>
    </w:p>
    <w:bookmarkStart w:id="29" w:name="refs"/>
    <w:bookmarkStart w:id="28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7">
        <w:r>
          <w:rPr>
            <w:rStyle w:val="Hyperlink"/>
          </w:rPr>
          <w:t xml:space="preserve">https://doi.org/10.1016/j.rse.2013.12.008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2026-10-25T01:47:23Z</dcterms:created>
  <dcterms:modified xsi:type="dcterms:W3CDTF">2026-10-25T01:47:23Z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