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Date"/>
      </w:pPr>
      <w:r>
        <w:t xml:space="preserve">2026-10-27</w:t>
      </w:r>
    </w:p>
    <w:p>
      <w:pPr>
        <w:pStyle w:val="BlockText"/>
      </w:pPr>
      <w:r>
        <w:rPr>
          <w:b/>
          <w:bCs/>
        </w:rPr>
        <w:t xml:space="preserve">Target journal:</w:t>
      </w:r>
      <w:r>
        <w:t xml:space="preserve"> </w:t>
      </w:r>
      <w:r>
        <w:rPr>
          <w:i/>
          <w:iCs/>
        </w:rPr>
        <w:t xml:space="preserve">Computers &amp; Geosciences</w:t>
      </w:r>
      <w:r>
        <w:t xml:space="preserve"> </w:t>
      </w:r>
      <w:r>
        <w:t xml:space="preserve">(Elsevier).</w:t>
      </w:r>
      <w:r>
        <w:t xml:space="preserve"> </w:t>
      </w:r>
      <w:r>
        <w:rPr>
          <w:b/>
          <w:bCs/>
        </w:rPr>
        <w:t xml:space="preserve">Article type:</w:t>
      </w:r>
      <w:r>
        <w:t xml:space="preserve"> </w:t>
      </w:r>
      <w:r>
        <w:t xml:space="preserve">research article.</w:t>
      </w:r>
      <w:r>
        <w:t xml:space="preserve"> </w:t>
      </w:r>
      <w:r>
        <w:rPr>
          <w:b/>
          <w:bCs/>
        </w:rPr>
        <w:t xml:space="preserve">Peer review:</w:t>
      </w:r>
      <w:r>
        <w:t xml:space="preserve"> </w:t>
      </w:r>
      <w:r>
        <w:t xml:space="preserve">single-anonymized.</w:t>
      </w:r>
      <w:r>
        <w:br/>
      </w:r>
      <w:r>
        <w:rPr>
          <w:b/>
          <w:bCs/>
        </w:rPr>
        <w:t xml:space="preserve">Supplementary file:</w:t>
      </w:r>
      <w:r>
        <w:t xml:space="preserve"> </w:t>
      </w:r>
      <w:r>
        <w:rPr>
          <w:rStyle w:val="VerbatimChar"/>
        </w:rPr>
        <w:t xml:space="preserve">material_suplementario.pdf</w:t>
      </w:r>
      <w:r>
        <w:t xml:space="preserve"> </w:t>
      </w:r>
      <w:r>
        <w:t xml:space="preserve">— Notes S1–S3, Tables S1–S20 and Figures S1–S3.</w:t>
      </w:r>
      <w:r>
        <w:br/>
      </w:r>
      <w:r>
        <w:rPr>
          <w:b/>
          <w:bCs/>
        </w:rPr>
        <w:t xml:space="preserve">Code:</w:t>
      </w:r>
      <w:r>
        <w:t xml:space="preserve"> </w:t>
      </w:r>
      <w:hyperlink r:id="rId9">
        <w:r>
          <w:rPr>
            <w:rStyle w:val="Hyperlink"/>
          </w:rPr>
          <w:t xml:space="preserve">github.com/sanchezmartin093-code/Incendios_PY</w:t>
        </w:r>
      </w:hyperlink>
      <w:r>
        <w:t xml:space="preserve"> </w:t>
      </w:r>
      <w:r>
        <w:t xml:space="preserve">(MIT License; code concept DOI</w:t>
      </w:r>
      <w:r>
        <w:t xml:space="preserve"> </w:t>
      </w:r>
      <w:hyperlink r:id="rId10">
        <w:r>
          <w:rPr>
            <w:rStyle w:val="Hyperlink"/>
          </w:rPr>
          <w:t xml:space="preserve">10.5281/zenodo.23675104</w:t>
        </w:r>
      </w:hyperlink>
      <w:r>
        <w:t xml:space="preserve">; GitHub release v2.0.0).</w:t>
      </w:r>
      <w:r>
        <w:br/>
      </w:r>
      <w:r>
        <w:rPr>
          <w:b/>
          <w:bCs/>
        </w:rPr>
        <w:t xml:space="preserve">Data:</w:t>
      </w:r>
      <w:r>
        <w:t xml:space="preserve"> </w:t>
      </w:r>
      <w:r>
        <w:t xml:space="preserve">processed data and test predictions are available in the v2.0.0 GitHub release under CC BY 4.0 and indexed by the data concept DOI</w:t>
      </w:r>
      <w:r>
        <w:t xml:space="preserve"> </w:t>
      </w:r>
      <w:hyperlink r:id="rId11">
        <w:r>
          <w:rPr>
            <w:rStyle w:val="Hyperlink"/>
          </w:rPr>
          <w:t xml:space="preserve">10.5281/zenodo.23675278</w:t>
        </w:r>
      </w:hyperlink>
      <w:r>
        <w:t xml:space="preserve">.</w:t>
      </w:r>
    </w:p>
    <w:bookmarkStart w:id="12"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Tables S1–S20:</w:t>
      </w:r>
      <w:r>
        <w:t xml:space="preserve"> </w:t>
      </w:r>
      <w:r>
        <w:t xml:space="preserve">variable dictionary, hyperparameters, departmental results, computational profile, conformal coverage, population evaluation, paired significance, spatial blocks, lead time, sampling, full benchmark, ablation, M1 baseline, gated policy, confirmation holdout, coupled baseline, D2 sensitivity, SHAP, cost-loss and data audit.</w:t>
      </w:r>
    </w:p>
    <w:p>
      <w:pPr>
        <w:pStyle w:val="BodyText"/>
      </w:pPr>
      <w:r>
        <w:t xml:space="preserve">•</w:t>
      </w:r>
      <w:r>
        <w:t xml:space="preserve"> </w:t>
      </w:r>
      <w:r>
        <w:rPr>
          <w:b/>
          <w:bCs/>
        </w:rPr>
        <w:t xml:space="preserve">Figures S1–S3:</w:t>
      </w:r>
      <w:r>
        <w:t xml:space="preserve"> </w:t>
      </w:r>
      <w:r>
        <w:t xml:space="preserve">SHAP, ablation and cost-loss.</w:t>
      </w:r>
    </w:p>
    <w:p>
      <w:r>
        <w:pict>
          <v:rect style="width:0;height:1.5pt" o:hralign="center" o:hrstd="t" o:hr="t"/>
        </w:pict>
      </w:r>
    </w:p>
    <w:bookmarkEnd w:id="12"/>
    <w:bookmarkStart w:id="13"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3"/>
    <w:bookmarkStart w:id="14"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4"/>
    <w:bookmarkStart w:id="24"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Because four main comparisons are made against FWI and INPE, the significance statements are a conservative screening result rather than multiplicity-adjusted inference. The bootstrap resolution is 0.001.</w:t>
      </w:r>
    </w:p>
    <w:p>
      <w:pPr>
        <w:pStyle w:val="BodyText"/>
      </w:pPr>
      <w:r>
        <w:t xml:space="preserve">The full benchmark is in Table S11, paired significance in Table S7, the complete spatial block results in Table S8 and the lead-time results in Table S9.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p>
      <w:r>
        <w:pict>
          <v:rect style="width:0;height:1.5pt" o:hralign="center" o:hrstd="t" o:hr="t"/>
        </w:pict>
      </w:r>
    </w:p>
    <w:p>
      <w:pPr>
        <w:pStyle w:val="FirstParagraph"/>
      </w:pPr>
      <w:r>
        <w:t xml:space="preserve">The 1-km² grid is the modeling unit. Fuel fractions come from annual MapBiomas Collection 2 maps (2017–2023), joined to each row with the prior-year map; 2024 uses 2023 with lag 1 and 2025 reuses 2023 with lag 2</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w:t>
            </w:r>
          </w:p>
        </w:tc>
        <w:tc>
          <w:tcPr/>
          <w:p>
            <w:pPr>
              <w:pStyle w:val="Compact"/>
            </w:pPr>
            <w:r>
              <w:t xml:space="preserve">27.304</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w:t>
            </w:r>
          </w:p>
        </w:tc>
        <w:tc>
          <w:tcPr/>
          <w:p>
            <w:pPr>
              <w:pStyle w:val="Compact"/>
            </w:pPr>
            <w:r>
              <w:t xml:space="preserve">24.589</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w:t>
            </w:r>
          </w:p>
        </w:tc>
        <w:tc>
          <w:tcPr/>
          <w:p>
            <w:pPr>
              <w:pStyle w:val="Compact"/>
            </w:pPr>
            <w:r>
              <w:t xml:space="preserve">50.652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w:t>
            </w:r>
          </w:p>
        </w:tc>
        <w:tc>
          <w:tcPr/>
          <w:p>
            <w:pPr>
              <w:pStyle w:val="Compact"/>
            </w:pPr>
            <w:r>
              <w:t xml:space="preserve">20.731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w:t>
            </w:r>
          </w:p>
        </w:tc>
        <w:tc>
          <w:tcPr/>
          <w:p>
            <w:pPr>
              <w:pStyle w:val="Compact"/>
            </w:pPr>
            <w:r>
              <w:t xml:space="preserve">22.106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w:t>
            </w:r>
          </w:p>
        </w:tc>
        <w:tc>
          <w:tcPr/>
          <w:p>
            <w:pPr>
              <w:pStyle w:val="Compact"/>
            </w:pPr>
            <w:r>
              <w:t xml:space="preserve">18.771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w:t>
      </w:r>
    </w:p>
    <w:p>
      <w:pPr>
        <w:pStyle w:val="BodyText"/>
      </w:pPr>
      <w:r>
        <w:rPr>
          <w:b/>
          <w:bCs/>
        </w:rPr>
        <w:t xml:space="preserve">Table S7.</w:t>
      </w:r>
      <w:r>
        <w:t xml:space="preserve"> </w:t>
      </w:r>
      <w:r>
        <w:t xml:space="preserve">Paired ROC-AUC differences against FWI and INPE, grouped by date (retrospective 2024–2025 test).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value</w:t>
            </w:r>
          </w:p>
        </w:tc>
        <w:tc>
          <w:tcPr/>
          <w:p>
            <w:pPr>
              <w:pStyle w:val="Compact"/>
            </w:pPr>
            <w:r>
              <w:t xml:space="preserve">Bootstrap replicates</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1000</w:t>
            </w:r>
          </w:p>
        </w:tc>
      </w:tr>
    </w:tbl>
    <w:p>
      <w:pPr>
        <w:pStyle w:val="BodyText"/>
      </w:pPr>
      <w:r>
        <w:t xml:space="preserve">The comparison uses B = 1,000 grouped-by-date bootstrap replicates.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Table S9.</w:t>
      </w:r>
      <w:r>
        <w:t xml:space="preserve"> </w:t>
      </w:r>
      <w:r>
        <w:t xml:space="preserve">Evaluation with t-1 weather (24-h anticipation) on 2023 validation.</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The full benchmark includes M2, propagation, FWI, INPE and the climatological baseline. FWI and INPE are normalized indices, not calibrated probabilities.</w:t>
      </w:r>
    </w:p>
    <w:p>
      <w:pPr>
        <w:pStyle w:val="BodyText"/>
      </w:pPr>
      <w:r>
        <w:rPr>
          <w:b/>
          <w:bCs/>
        </w:rPr>
        <w:t xml:space="preserve">Table S11.</w:t>
      </w:r>
      <w:r>
        <w:t xml:space="preserve"> </w:t>
      </w:r>
      <w:r>
        <w:t xml:space="preserve">Full benchmark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S12.</w:t>
      </w:r>
      <w:r>
        <w:t xml:space="preserve"> </w:t>
      </w:r>
      <w:r>
        <w:t xml:space="preserve">Controlled ablation of M1, M2 and M3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8252460" cy="3610451"/>
            <wp:effectExtent b="0" l="0" r="0" t="0"/>
            <wp:docPr descr="Figure S1. TreeSHAP comparison for the hybrid ignition model. The two regions use separate models and feature sets." title="" id="16" name="Picture"/>
            <a:graphic>
              <a:graphicData uri="http://schemas.openxmlformats.org/drawingml/2006/picture">
                <pic:pic>
                  <pic:nvPicPr>
                    <pic:cNvPr descr="figuras/supp_fig01_shap.png" id="17" name="Picture"/>
                    <pic:cNvPicPr>
                      <a:picLocks noChangeArrowheads="1" noChangeAspect="1"/>
                    </pic:cNvPicPr>
                  </pic:nvPicPr>
                  <pic:blipFill>
                    <a:blip r:embed="rId15"/>
                    <a:stretch>
                      <a:fillRect/>
                    </a:stretch>
                  </pic:blipFill>
                  <pic:spPr bwMode="auto">
                    <a:xfrm>
                      <a:off x="0" y="0"/>
                      <a:ext cx="8252460" cy="3610451"/>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w:t>
      </w:r>
    </w:p>
    <w:tbl>
      <w:tblPr>
        <w:tblStyle w:val="Table"/>
        <w:tblW w:type="pct" w:w="5000"/>
        <w:tblLayout w:type="fixed"/>
        <w:tblLook w:firstRow="1" w:lastRow="0" w:firstColumn="0" w:lastColumn="0" w:noHBand="0" w:noVBand="0" w:val="0020"/>
      </w:tblPr>
      <w:tblGrid>
        <w:gridCol w:w="1056"/>
        <w:gridCol w:w="633"/>
        <w:gridCol w:w="1056"/>
        <w:gridCol w:w="739"/>
        <w:gridCol w:w="844"/>
        <w:gridCol w:w="844"/>
        <w:gridCol w:w="844"/>
        <w:gridCol w:w="844"/>
        <w:gridCol w:w="1056"/>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r>
                <m:t>α</m:t>
              </m:r>
            </m:oMath>
            <w:r>
              <w:t xml:space="preserve">​</w:t>
            </w:r>
          </w:p>
        </w:tc>
        <w:tc>
          <w:tcPr/>
          <w:p>
            <w:pPr>
              <w:pStyle w:val="Compact"/>
              <w:jc w:val="right"/>
            </w:pPr>
            <m:oMath>
              <m:r>
                <m:t>V</m:t>
              </m:r>
              <m:r>
                <m:rPr>
                  <m:sty m:val="p"/>
                </m:rPr>
                <m:t>(</m:t>
              </m:r>
              <m:r>
                <m:t>α</m:t>
              </m:r>
              <m:r>
                <m:rPr>
                  <m:sty m:val="p"/>
                </m:rPr>
                <m:t>)</m:t>
              </m:r>
            </m:oMath>
            <w:r>
              <w:t xml:space="preserve">​</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CaptionedFigure"/>
      </w:pPr>
      <w:r>
        <w:drawing>
          <wp:inline>
            <wp:extent cx="6949440" cy="5460274"/>
            <wp:effectExtent b="0" l="0" r="0" t="0"/>
            <wp:docPr descr="Figure S2. Controlled ablation under the D2 test. The figure complements Table S12." title="" id="19" name="Picture"/>
            <a:graphic>
              <a:graphicData uri="http://schemas.openxmlformats.org/drawingml/2006/picture">
                <pic:pic>
                  <pic:nvPicPr>
                    <pic:cNvPr descr="figuras/supp_fig02_ablacion.png" id="20" name="Picture"/>
                    <pic:cNvPicPr>
                      <a:picLocks noChangeArrowheads="1" noChangeAspect="1"/>
                    </pic:cNvPicPr>
                  </pic:nvPicPr>
                  <pic:blipFill>
                    <a:blip r:embed="rId18"/>
                    <a:stretch>
                      <a:fillRect/>
                    </a:stretch>
                  </pic:blipFill>
                  <pic:spPr bwMode="auto">
                    <a:xfrm>
                      <a:off x="0" y="0"/>
                      <a:ext cx="6949440" cy="5460274"/>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292454"/>
            <wp:effectExtent b="0" l="0" r="0" t="0"/>
            <wp:docPr descr="Figure S3. Cost-loss curves. The propagation panel uses the full \alpha range; the ignition panel is truncated at \alpha=0.006 because the decision value is zero or negligible at larger values. The figure complements Table S14." title="" id="22" name="Picture"/>
            <a:graphic>
              <a:graphicData uri="http://schemas.openxmlformats.org/drawingml/2006/picture">
                <pic:pic>
                  <pic:nvPicPr>
                    <pic:cNvPr descr="figuras/supp_fig03_cost_loss.png" id="23" name="Picture"/>
                    <pic:cNvPicPr>
                      <a:picLocks noChangeArrowheads="1" noChangeAspect="1"/>
                    </pic:cNvPicPr>
                  </pic:nvPicPr>
                  <pic:blipFill>
                    <a:blip r:embed="rId21"/>
                    <a:stretch>
                      <a:fillRect/>
                    </a:stretch>
                  </pic:blipFill>
                  <pic:spPr bwMode="auto">
                    <a:xfrm>
                      <a:off x="0" y="0"/>
                      <a:ext cx="8252460" cy="329245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BodyText"/>
      </w:pPr>
      <w:r>
        <w:rPr>
          <w:b/>
          <w:bCs/>
        </w:rPr>
        <w:t xml:space="preserve">Table S15.</w:t>
      </w:r>
      <w:r>
        <w:t xml:space="preserve"> </w:t>
      </w:r>
      <w:r>
        <w:t xml:space="preserve">Data audit log generated by the repository checks.</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Table S16.</w:t>
      </w:r>
      <w:r>
        <w:t xml:space="preserve"> </w:t>
      </w:r>
      <w:r>
        <w:t xml:space="preserve">M1 biophysical baseline on 2023 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left"/>
            </w:pPr>
            <w:r>
              <w:t xml:space="preserve">Evaluation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all cells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all cells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is a diagnostic biophysical baseline and was not used operationally. Spatial block results are in Table S8, lead-time results in Table S9, and the retrospective 2024–2025 ablation in Table S12.</w:t>
      </w:r>
    </w:p>
    <w:p>
      <w:pPr>
        <w:pStyle w:val="BodyText"/>
      </w:pPr>
      <w:r>
        <w:rPr>
          <w:b/>
          <w:bCs/>
        </w:rPr>
        <w:t xml:space="preserve">Table S17.</w:t>
      </w:r>
      <w:r>
        <w:t xml:space="preserve"> </w:t>
      </w:r>
      <w:r>
        <w:t xml:space="preserve">Operational gated M3/M2 policy on the retrospective 2024–2025 test. M3 is used where</w:t>
      </w:r>
      <w:r>
        <w:t xml:space="preserve"> </w:t>
      </w:r>
      <w:r>
        <w:rPr>
          <w:rStyle w:val="VerbatimChar"/>
        </w:rPr>
        <w:t xml:space="preserve">freq_hist_1km &gt; 0</w:t>
      </w:r>
      <w:r>
        <w:t xml:space="preserve">; M2 where it is zero. The F0.5 cutoff was selected on 2023 validation and frozen.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Region</w:t>
            </w:r>
          </w:p>
        </w:tc>
        <w:tc>
          <w:tcPr/>
          <w:p>
            <w:pPr>
              <w:pStyle w:val="Compact"/>
              <w:jc w:val="left"/>
            </w:pPr>
            <w:r>
              <w:t xml:space="preserve">Policy</w:t>
            </w:r>
          </w:p>
        </w:tc>
        <w:tc>
          <w:tcPr/>
          <w:p>
            <w:pPr>
              <w:pStyle w:val="Compact"/>
              <w:jc w:val="left"/>
            </w:pPr>
            <w:r>
              <w:t xml:space="preserve">ROC-AUC [95 % CI]</w:t>
            </w:r>
          </w:p>
        </w:tc>
        <w:tc>
          <w:tcPr/>
          <w:p>
            <w:pPr>
              <w:pStyle w:val="Compact"/>
              <w:jc w:val="right"/>
            </w:pPr>
            <w:r>
              <w:t xml:space="preserve">PR-AUC</w:t>
            </w:r>
          </w:p>
        </w:tc>
        <w:tc>
          <w:tcPr/>
          <w:p>
            <w:pPr>
              <w:pStyle w:val="Compact"/>
              <w:jc w:val="right"/>
            </w:pPr>
            <w:r>
              <w:t xml:space="preserve">Precision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7,811</w:t>
            </w:r>
          </w:p>
        </w:tc>
      </w:tr>
    </w:tbl>
    <w:p>
      <w:pPr>
        <w:pStyle w:val="BodyText"/>
      </w:pPr>
      <w:r>
        <w:t xml:space="preserve">Population-level metrics after prior correction: Chaco ROC-AUC 0.8081, PR-AUC 0.0009, precision 0.077 %, recall 30.873 %, F0.5 0.0010; Oriental ROC-AUC 0.7598, PR-AUC 0.0019, precision 0.210 %, recall 18.546 %, F0.5 0.0026. Cutoffs: Chaco 0.2218 sample / 0.000436 population; Oriental 0.2186 sample / 0.001158 population.</w:t>
      </w:r>
    </w:p>
    <w:p>
      <w:pPr>
        <w:pStyle w:val="BodyText"/>
      </w:pPr>
      <w:r>
        <w:rPr>
          <w:b/>
          <w:bCs/>
        </w:rPr>
        <w:t xml:space="preserve">Table S18.</w:t>
      </w:r>
      <w:r>
        <w:t xml:space="preserve"> </w:t>
      </w:r>
      <w:r>
        <w:t xml:space="preserve">Independent spatial confirmation holdout on 2023. Models were retrained excluding the 31 confirmation blocks and their 20-km buffer; the cutoff was selected on held-in 2023 cells and applied once to the confirmation cells.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Region</w:t>
            </w:r>
          </w:p>
        </w:tc>
        <w:tc>
          <w:tcPr/>
          <w:p>
            <w:pPr>
              <w:pStyle w:val="Compact"/>
              <w:jc w:val="left"/>
            </w:pPr>
            <w:r>
              <w:t xml:space="preserve">Model</w:t>
            </w:r>
          </w:p>
        </w:tc>
        <w:tc>
          <w:tcPr/>
          <w:p>
            <w:pPr>
              <w:pStyle w:val="Compact"/>
              <w:jc w:val="left"/>
            </w:pPr>
            <w:r>
              <w:t xml:space="preserve">Evaluation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The held-in 2023 reference rows and full precision/recall/FP/FN counts are in</w:t>
      </w:r>
      <w:r>
        <w:t xml:space="preserve"> </w:t>
      </w:r>
      <w:r>
        <w:rPr>
          <w:rStyle w:val="VerbatimChar"/>
        </w:rPr>
        <w:t xml:space="preserve">tablas/tablaS18_confirmacion_espacial_2023.csv</w:t>
      </w:r>
      <w:r>
        <w:t xml:space="preserve">. The low recall at the frozen cutoff reflects the calibration shift between held-in and confirmation blocks; discrimination (ROC-AUC/PR-AUC) is the primary comparison.</w:t>
      </w:r>
    </w:p>
    <w:p>
      <w:pPr>
        <w:pStyle w:val="BodyText"/>
      </w:pPr>
      <w:r>
        <w:rPr>
          <w:b/>
          <w:bCs/>
        </w:rPr>
        <w:t xml:space="preserve">Table S19.</w:t>
      </w:r>
      <w:r>
        <w:t xml:space="preserve"> </w:t>
      </w:r>
      <w:r>
        <w:t xml:space="preserve">Coupled t-1 baseline versus the decoupled task architecture on the combined fire sample. The coupled baseline is a single binary fire-at-</w:t>
      </w:r>
      <w:r>
        <w:rPr>
          <w:rStyle w:val="VerbatimChar"/>
        </w:rPr>
        <w:t xml:space="preserve">t</w:t>
      </w:r>
      <w:r>
        <w:t xml:space="preserve"> </w:t>
      </w:r>
      <w:r>
        <w:t xml:space="preserve">model with the three causal t-1 fire features; the decoupled comparator uses M3 for ignition rows and the propagation model for propagation rows. Both use the same combined case-control test rows.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Region</w:t>
            </w:r>
          </w:p>
        </w:tc>
        <w:tc>
          <w:tcPr/>
          <w:p>
            <w:pPr>
              <w:pStyle w:val="Compact"/>
              <w:jc w:val="left"/>
            </w:pPr>
            <w:r>
              <w:t xml:space="preserve">Comparator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Positives</w:t>
            </w:r>
          </w:p>
        </w:tc>
      </w:tr>
      <w:tr>
        <w:tc>
          <w:tcPr/>
          <w:p>
            <w:pPr>
              <w:pStyle w:val="Compact"/>
              <w:jc w:val="left"/>
            </w:pPr>
            <w:r>
              <w:t xml:space="preserve">Chaco</w:t>
            </w:r>
          </w:p>
        </w:tc>
        <w:tc>
          <w:tcPr/>
          <w:p>
            <w:pPr>
              <w:pStyle w:val="Compact"/>
              <w:jc w:val="left"/>
            </w:pPr>
            <w:r>
              <w:t xml:space="preserve">Coupled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Chaco</w:t>
            </w:r>
          </w:p>
        </w:tc>
        <w:tc>
          <w:tcPr/>
          <w:p>
            <w:pPr>
              <w:pStyle w:val="Compact"/>
              <w:jc w:val="left"/>
            </w:pPr>
            <w:r>
              <w:t xml:space="preserve">Decoupled task models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Oriental</w:t>
            </w:r>
          </w:p>
        </w:tc>
        <w:tc>
          <w:tcPr/>
          <w:p>
            <w:pPr>
              <w:pStyle w:val="Compact"/>
              <w:jc w:val="left"/>
            </w:pPr>
            <w:r>
              <w:t xml:space="preserve">Coupled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1,060,895</w:t>
            </w:r>
          </w:p>
        </w:tc>
        <w:tc>
          <w:tcPr/>
          <w:p>
            <w:pPr>
              <w:pStyle w:val="Compact"/>
              <w:jc w:val="right"/>
            </w:pPr>
            <w:r>
              <w:t xml:space="preserve">96,445</w:t>
            </w:r>
          </w:p>
        </w:tc>
      </w:tr>
      <w:tr>
        <w:tc>
          <w:tcPr/>
          <w:p>
            <w:pPr>
              <w:pStyle w:val="Compact"/>
              <w:jc w:val="left"/>
            </w:pPr>
            <w:r>
              <w:t xml:space="preserve">Oriental</w:t>
            </w:r>
          </w:p>
        </w:tc>
        <w:tc>
          <w:tcPr/>
          <w:p>
            <w:pPr>
              <w:pStyle w:val="Compact"/>
              <w:jc w:val="left"/>
            </w:pPr>
            <w:r>
              <w:t xml:space="preserve">Decoupled task models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1,060,895</w:t>
            </w:r>
          </w:p>
        </w:tc>
        <w:tc>
          <w:tcPr/>
          <w:p>
            <w:pPr>
              <w:pStyle w:val="Compact"/>
              <w:jc w:val="right"/>
            </w:pPr>
            <w:r>
              <w:t xml:space="preserve">96,445</w:t>
            </w:r>
          </w:p>
        </w:tc>
      </w:tr>
    </w:tbl>
    <w:p>
      <w:pPr>
        <w:pStyle w:val="BodyText"/>
      </w:pPr>
      <w:r>
        <w:t xml:space="preserve">This is a comparator for the leakage discussion, not an operational model. Because both sides use the same gated case-control sample, it does not test the effect of removing the gate.</w:t>
      </w:r>
    </w:p>
    <w:p>
      <w:pPr>
        <w:pStyle w:val="BodyText"/>
      </w:pPr>
      <w:r>
        <w:rPr>
          <w:b/>
          <w:bCs/>
        </w:rPr>
        <w:t xml:space="preserve">Table S20.</w:t>
      </w:r>
      <w:r>
        <w:t xml:space="preserve"> </w:t>
      </w:r>
      <w:r>
        <w:t xml:space="preserve">D2 sensitivity with full retraining. Each row is an independent run: the 1:10 ignition sample was regenerated, M1/M2/M3 were retrained, the cutoff was selected on 2023 and applied to 2024–2025. Priors and predictors were held fixed; only the D2 radius and same-cell window changed. The 25 km/10 d row is the reference under this harness.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Region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0.7547</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The full table with M1, M2 and the gated policy is in</w:t>
      </w:r>
      <w:r>
        <w:t xml:space="preserve"> </w:t>
      </w:r>
      <w:r>
        <w:rPr>
          <w:rStyle w:val="VerbatimChar"/>
        </w:rPr>
        <w:t xml:space="preserve">tablas/tablaS20_sensibilidad_d2.csv</w:t>
      </w:r>
      <w:r>
        <w:t xml:space="preserve">. The 25 km/10 d row reproduces the same sample and features as the main partitions; its small difference from Table 10 reflects retraining inside this sensitivity harness, not a different target or sample. M3 beat M2 in all 18 region-by-evaluation comparisons (ΔROC +0.004 to +0.016). The 7-day window had the highest ROC-AUC in every region × radius pair, and the radius effect was small: 35 km was slightly better in Chaco and 25 km in Oriental. The ranking and the D2 conclusion are stable.</w:t>
      </w:r>
    </w:p>
    <w:bookmarkEnd w:id="24"/>
    <w:bookmarkStart w:id="25" w:name="data-availability"/>
    <w:p>
      <w:pPr>
        <w:pStyle w:val="Heading1"/>
      </w:pPr>
      <w:r>
        <w:t xml:space="preserve">Data availability</w:t>
      </w:r>
    </w:p>
    <w:p>
      <w:pPr>
        <w:pStyle w:val="FirstParagraph"/>
      </w:pPr>
      <w:r>
        <w:t xml:space="preserve">Processed data, test predictions, trained models and derived tables are available in the v2.0.0 GitHub release under CC BY 4.0 and indexed by the data concept DOI</w:t>
      </w:r>
      <w:r>
        <w:t xml:space="preserve"> </w:t>
      </w:r>
      <w:hyperlink r:id="rId11">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25"/>
    <w:bookmarkStart w:id="26"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9">
        <w:r>
          <w:rPr>
            <w:rStyle w:val="Hyperlink"/>
          </w:rPr>
          <w:t xml:space="preserve">https://github.com/sanchezmartin093-code/Incendios_PY</w:t>
        </w:r>
      </w:hyperlink>
      <w:r>
        <w:br/>
      </w:r>
      <w:r>
        <w:rPr>
          <w:b/>
          <w:bCs/>
        </w:rPr>
        <w:t xml:space="preserve">Code concept DOI:</w:t>
      </w:r>
      <w:r>
        <w:t xml:space="preserve"> </w:t>
      </w:r>
      <w:hyperlink r:id="rId10">
        <w:r>
          <w:rPr>
            <w:rStyle w:val="Hyperlink"/>
          </w:rPr>
          <w:t xml:space="preserve">10.5281/zenodo.23675104</w:t>
        </w:r>
      </w:hyperlink>
      <w:r>
        <w:br/>
      </w:r>
      <w:r>
        <w:rPr>
          <w:b/>
          <w:bCs/>
        </w:rPr>
        <w:t xml:space="preserve">Tests:</w:t>
      </w:r>
      <w:r>
        <w:t xml:space="preserve"> </w:t>
      </w:r>
      <w:r>
        <w:t xml:space="preserve">76 tests pass with</w:t>
      </w:r>
      <w:r>
        <w:t xml:space="preserve"> </w:t>
      </w:r>
      <w:r>
        <w:rPr>
          <w:rStyle w:val="VerbatimChar"/>
        </w:rPr>
        <w:t xml:space="preserve">python -m pytest -q tests</w:t>
      </w:r>
      <w:r>
        <w:t xml:space="preserve">. The repository includes a README in English, installation and usage instructions, a user guide, and the scripts required to reproduce the main results.</w:t>
      </w:r>
    </w:p>
    <w:bookmarkEnd w:id="26"/>
    <w:bookmarkStart w:id="41" w:name="references"/>
    <w:p>
      <w:pPr>
        <w:pStyle w:val="Heading1"/>
      </w:pPr>
      <w:r>
        <w:t xml:space="preserve">References</w:t>
      </w:r>
    </w:p>
    <w:bookmarkStart w:id="40" w:name="refs"/>
    <w:bookmarkStart w:id="2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27"/>
    <w:bookmarkStart w:id="2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28">
        <w:r>
          <w:rPr>
            <w:rStyle w:val="Hyperlink"/>
          </w:rPr>
          <w:t xml:space="preserve">https://chaco.mapbiomas.org/</w:t>
        </w:r>
      </w:hyperlink>
      <w:r>
        <w:t xml:space="preserve">.</w:t>
      </w:r>
    </w:p>
    <w:bookmarkEnd w:id="29"/>
    <w:bookmarkStart w:id="3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0">
        <w:r>
          <w:rPr>
            <w:rStyle w:val="Hyperlink"/>
          </w:rPr>
          <w:t xml:space="preserve">https://doi.org/10.5194/essd-13-4349-2021</w:t>
        </w:r>
      </w:hyperlink>
    </w:p>
    <w:bookmarkEnd w:id="31"/>
    <w:bookmarkStart w:id="33"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2">
        <w:r>
          <w:rPr>
            <w:rStyle w:val="Hyperlink"/>
          </w:rPr>
          <w:t xml:space="preserve">https://firms.modaps.eosdis.nasa.gov/</w:t>
        </w:r>
      </w:hyperlink>
      <w:r>
        <w:t xml:space="preserve">.</w:t>
      </w:r>
    </w:p>
    <w:bookmarkEnd w:id="33"/>
    <w:bookmarkStart w:id="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34"/>
    <w:bookmarkStart w:id="3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5">
        <w:r>
          <w:rPr>
            <w:rStyle w:val="Hyperlink"/>
          </w:rPr>
          <w:t xml:space="preserve">https://doi.org/10.1016/j.rse.2013.12.008</w:t>
        </w:r>
      </w:hyperlink>
    </w:p>
    <w:bookmarkEnd w:id="36"/>
    <w:bookmarkStart w:id="3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37">
        <w:r>
          <w:rPr>
            <w:rStyle w:val="Hyperlink"/>
          </w:rPr>
          <w:t xml:space="preserve">http://queimadas.dgi.inpe.br</w:t>
        </w:r>
      </w:hyperlink>
    </w:p>
    <w:bookmarkEnd w:id="38"/>
    <w:bookmarkStart w:id="3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39"/>
    <w:bookmarkEnd w:id="40"/>
    <w:bookmarkEnd w:id="41"/>
    <w:sectPr>
      <w:footnotePr>
        <w:numRestart w:val="eachSect"/>
      </w:footnotePr>
      <w:pgSz w:h="12240" w:orient="landscape" w:w="158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2026-10-28T02:39:27Z</dcterms:created>
  <dcterms:modified xsi:type="dcterms:W3CDTF">2026-10-28T02:39:27Z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2026-10-27</vt:lpwstr>
  </property>
  <property fmtid="{D5CDD505-2E9C-101B-9397-08002B2CF9AE}" pid="6" name="fig-cap-location">
    <vt:lpwstr>bottom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D2 target construction, calibration, evaluation protocol, extended tables and figures</vt:lpwstr>
  </property>
  <property fmtid="{D5CDD505-2E9C-101B-9397-08002B2CF9AE}" pid="12" name="toc-title">
    <vt:lpwstr>Table of contents</vt:lpwstr>
  </property>
</Properties>
</file>