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w:t>
      </w:r>
    </w:p>
    <w:p>
      <w:pPr>
        <w:pStyle w:val="Subtitle"/>
      </w:pPr>
      <w:r>
        <w:t xml:space="preserve">D2 targets, M3/M2 inference, and an open benchmark against Canadian FWI and INPE</w:t>
      </w:r>
    </w:p>
    <w:bookmarkStart w:id="9" w:name="abstract"/>
    <w:p>
      <w:pPr>
        <w:pStyle w:val="Heading1"/>
      </w:pPr>
      <w:r>
        <w:t xml:space="preserve">Abstract</w:t>
      </w:r>
    </w:p>
    <w:p>
      <w:pPr>
        <w:pStyle w:val="FirstParagraph"/>
      </w:pPr>
      <w:r>
        <w:t xml:space="preserve">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 xml:space="preserve">t</w:t>
      </w:r>
      <w:r>
        <w:t xml:space="preserve"> </w:t>
      </w:r>
      <w:r>
        <w:t xml:space="preserve">with no fire within 25 km on day</w:t>
      </w:r>
      <w:r>
        <w:t xml:space="preserve"> </w:t>
      </w:r>
      <w:r>
        <w:rPr>
          <w:i/>
          <w:iCs/>
        </w:rPr>
        <w:t xml:space="preserve">t</w:t>
      </w:r>
      <w:r>
        <w:t xml:space="preserve">−1 and no same-cell fire in the previous 10 days; propagation is evaluated within 25 km of a day</w:t>
      </w:r>
      <w:r>
        <w:t xml:space="preserve"> </w:t>
      </w:r>
      <w:r>
        <w:rPr>
          <w:i/>
          <w:iCs/>
        </w:rPr>
        <w:t xml:space="preserve">t</w:t>
      </w:r>
      <w:r>
        <w:t xml:space="preserve">−1 fire. A biophysical gate removes non-combustible and wet cell-days. A hybrid LightGBM model (M3) predicts ignition without day</w:t>
      </w:r>
      <w:r>
        <w:t xml:space="preserve"> </w:t>
      </w:r>
      <w:r>
        <w:rPr>
          <w:i/>
          <w:iCs/>
        </w:rPr>
        <w:t xml:space="preserve">t</w:t>
      </w:r>
      <w:r>
        <w:t xml:space="preserve">−1 fire inputs, using M2 as a fallback for cells without history and M1 as a biophysical baseline. On 2023 validation, M3 reaches ROC-AUC 0.7844/0.7628 (Chaco/Oriental) versus 0.7817/0.7496 for M2. In 2023 spatial blocks, M2 is most robust (0.6773/0.7470); M1 does not beat M2 on cells without history. An independent confirmation holdout also retained M2 (0.6871/0.6621). On the retrospective 2024–2025 test, M3 reaches 0.8021/0.7534 versus 0.5173/0.5564 for the Canadian Forest Fire Weather Index (FWI) and 0.5389/0.4990 for the INPE Risco de Fogo; propagation reaches 0.9039/0.7859. Population-level ignition precision is 0.082 %/0.198 % (95 % CI 0.075–0.088/0.178–0.222), and decision value is concentrated in propagation, confirming a screening-and-prioritization role rather than a stand-alone warning system. The contribution is the open D2 operator, gated inference and evaluation harness, released as reproducible software.</w:t>
      </w:r>
    </w:p>
    <w:p>
      <w:pPr>
        <w:pStyle w:val="BodyText"/>
      </w:pPr>
      <w:r>
        <w:rPr>
          <w:b/>
          <w:bCs/>
        </w:rPr>
        <w:t xml:space="preserve">Keywords:</w:t>
      </w:r>
      <w:r>
        <w:t xml:space="preserve"> </w:t>
      </w:r>
      <w:r>
        <w:t xml:space="preserve">Wildfire nowcasting; GeoAI; reproducibility; spatial cross-validation; LightGBM; Gran Chaco.</w:t>
      </w:r>
    </w:p>
    <w:bookmarkEnd w:id="9"/>
    <w:bookmarkStart w:id="10"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Instituto Nacional de Pesquisas Espaciais (INPE) Risco de Fogo</w:t>
      </w:r>
      <w:r>
        <w:t xml:space="preserve"> </w:t>
      </w:r>
      <w:r>
        <w:t xml:space="preserve">(Setzer et al., 2019)</w:t>
      </w:r>
      <w:r>
        <w:t xml:space="preserve">. These indices are widely used, but they were not designed for the moisture-limited, fuel-limited and strongly anthropogenic ignition regime of the Dry Chaco.</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w:t>
      </w:r>
      <w:r>
        <w:t xml:space="preserve"> </w:t>
      </w:r>
      <w:r>
        <w:rPr>
          <w:i/>
          <w:iCs/>
        </w:rPr>
        <w:t xml:space="preserve">t</w:t>
      </w:r>
      <w:r>
        <w:t xml:space="preserve">−1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We address these methodological and operational constraints over the continuous 2018–2025 Visible Infrared Imaging Radiometer Suite (VIIRS) record (Suomi-NPP, NOAA-20 and NOAA-21) across a 1-km² national grid of Paraguay (400 006 cells)</w:t>
      </w:r>
      <w:r>
        <w:t xml:space="preserve"> </w:t>
      </w:r>
      <w:r>
        <w:t xml:space="preserve">(Schroeder et al., 2014)</w:t>
      </w:r>
      <w:r>
        <w:t xml:space="preserve">. While keeping the underlying learner intentionally replaceable, we formalize four reusable computational contributions:</w:t>
      </w:r>
    </w:p>
    <w:p>
      <w:pPr>
        <w:pStyle w:val="Compact"/>
        <w:numPr>
          <w:ilvl w:val="0"/>
          <w:numId w:val="1001"/>
        </w:numPr>
      </w:pPr>
      <w:r>
        <w:rPr>
          <w:b/>
          <w:bCs/>
        </w:rPr>
        <w:t xml:space="preserve">D2 target operator.</w:t>
      </w:r>
      <w:r>
        <w:t xml:space="preserve"> </w:t>
      </w:r>
      <w:r>
        <w:t xml:space="preserve">A formal target contract that separates primary ignition from tactical propagation, prevents persistence from being mixed with ignition and makes leakage checks explicit.</w:t>
      </w:r>
    </w:p>
    <w:p>
      <w:pPr>
        <w:pStyle w:val="Compact"/>
        <w:numPr>
          <w:ilvl w:val="0"/>
          <w:numId w:val="1001"/>
        </w:numPr>
      </w:pPr>
      <w:r>
        <w:rPr>
          <w:b/>
          <w:bCs/>
        </w:rPr>
        <w:t xml:space="preserve">Gated M3/M2 inference.</w:t>
      </w:r>
      <w:r>
        <w:t xml:space="preserve"> </w:t>
      </w:r>
      <w:r>
        <w:t xml:space="preserve">A two-stage policy that combines biophysical screening with a recurrence-aware hybrid model (M3) where fire history exists and a historical-anchor fallback (M2) where it does not.</w:t>
      </w:r>
    </w:p>
    <w:p>
      <w:pPr>
        <w:pStyle w:val="Compact"/>
        <w:numPr>
          <w:ilvl w:val="0"/>
          <w:numId w:val="1001"/>
        </w:numPr>
      </w:pPr>
      <w:r>
        <w:rPr>
          <w:b/>
          <w:bCs/>
        </w:rPr>
        <w:t xml:space="preserve">Reproducible evaluation harness.</w:t>
      </w:r>
      <w:r>
        <w:t xml:space="preserve"> </w:t>
      </w:r>
      <w:r>
        <w:t xml:space="preserve">A unified protocol that integrates temporal holdout, spatial blocks, date-grouped bootstrap, lead-time analysis, conformal coverage and cost-loss evaluation.</w:t>
      </w:r>
    </w:p>
    <w:p>
      <w:pPr>
        <w:pStyle w:val="Compact"/>
        <w:numPr>
          <w:ilvl w:val="0"/>
          <w:numId w:val="1001"/>
        </w:numPr>
      </w:pPr>
      <w:r>
        <w:rPr>
          <w:b/>
          <w:bCs/>
        </w:rPr>
        <w:t xml:space="preserve">Open software and data.</w:t>
      </w:r>
      <w:r>
        <w:t xml:space="preserve"> </w:t>
      </w:r>
      <w:r>
        <w:t xml:space="preserve">A vectorized, zero-copy Polars/DuckDB pipeline with public code, archived DOIs and automated tests.</w:t>
      </w:r>
    </w:p>
    <w:p>
      <w:pPr>
        <w:pStyle w:val="FirstParagraph"/>
      </w:pPr>
      <w:r>
        <w:t xml:space="preserve">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 xml:space="preserve">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value. Section 4 discusses why canonical indices fail, what decoupling buys and where it fails, and the limitations of the study. Section 5 concludes.</w:t>
      </w:r>
    </w:p>
    <w:bookmarkEnd w:id="10"/>
    <w:bookmarkStart w:id="23" w:name="computational-framework"/>
    <w:p>
      <w:pPr>
        <w:pStyle w:val="Heading1"/>
      </w:pPr>
      <w:r>
        <w:t xml:space="preserve">2. Computational framework</w:t>
      </w:r>
    </w:p>
    <w:bookmarkStart w:id="11"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w:t>
      </w:r>
      <w:r>
        <w:t xml:space="preserve"> </w:t>
      </w:r>
      <w:r>
        <w:rPr>
          <w:i/>
          <w:iCs/>
        </w:rPr>
        <w:t xml:space="preserve">i</w:t>
      </w:r>
      <w:r>
        <w:t xml:space="preserve"> </w:t>
      </w:r>
      <w:r>
        <w:t xml:space="preserve">and day</w:t>
      </w:r>
      <w:r>
        <w:t xml:space="preserve"> </w:t>
      </w:r>
      <w:r>
        <w:rPr>
          <w:i/>
          <w:iCs/>
        </w:rPr>
        <w:t xml:space="preserve">t</w:t>
      </w:r>
      <w:r>
        <w:t xml:space="preserve">:</w:t>
      </w:r>
    </w:p>
    <w:p>
      <w:pPr>
        <w:pStyle w:val="Compact"/>
        <w:numPr>
          <w:ilvl w:val="0"/>
          <w:numId w:val="1002"/>
        </w:numPr>
      </w:pPr>
      <w:r>
        <w:rPr>
          <w:b/>
          <w:bCs/>
        </w:rPr>
        <w:t xml:space="preserve">Primary ignition</w:t>
      </w:r>
      <w:r>
        <w:t xml:space="preserve"> </w:t>
      </w:r>
      <w:r>
        <w:t xml:space="preserve">is a fire at (</w:t>
      </w:r>
      <w:r>
        <w:rPr>
          <w:i/>
          <w:iCs/>
        </w:rPr>
        <w:t xml:space="preserve">i</w:t>
      </w:r>
      <w:r>
        <w:t xml:space="preserve">,</w:t>
      </w:r>
      <w:r>
        <w:t xml:space="preserve"> </w:t>
      </w:r>
      <w:r>
        <w:rPr>
          <w:i/>
          <w:iCs/>
        </w:rPr>
        <w:t xml:space="preserve">t</w:t>
      </w:r>
      <w:r>
        <w:t xml:space="preserve">) when there is no fire within 25 km at</w:t>
      </w:r>
      <w:r>
        <w:t xml:space="preserve"> </w:t>
      </w:r>
      <w:r>
        <w:rPr>
          <w:i/>
          <w:iCs/>
        </w:rPr>
        <w:t xml:space="preserve">t</w:t>
      </w:r>
      <w:r>
        <w:t xml:space="preserve">−1 and no fire in cell</w:t>
      </w:r>
      <w:r>
        <w:t xml:space="preserve"> </w:t>
      </w:r>
      <w:r>
        <w:rPr>
          <w:i/>
          <w:iCs/>
        </w:rPr>
        <w:t xml:space="preserve">i</w:t>
      </w:r>
      <w:r>
        <w:t xml:space="preserve"> </w:t>
      </w:r>
      <w:r>
        <w:t xml:space="preserve">during the previous 10 days.</w:t>
      </w:r>
    </w:p>
    <w:p>
      <w:pPr>
        <w:pStyle w:val="Compact"/>
        <w:numPr>
          <w:ilvl w:val="0"/>
          <w:numId w:val="1002"/>
        </w:numPr>
      </w:pPr>
      <w:r>
        <w:rPr>
          <w:b/>
          <w:bCs/>
        </w:rPr>
        <w:t xml:space="preserve">Tactical propagation</w:t>
      </w:r>
      <w:r>
        <w:t xml:space="preserve"> </w:t>
      </w:r>
      <w:r>
        <w:t xml:space="preserve">is a fire at (</w:t>
      </w:r>
      <w:r>
        <w:rPr>
          <w:i/>
          <w:iCs/>
        </w:rPr>
        <w:t xml:space="preserve">i</w:t>
      </w:r>
      <w:r>
        <w:t xml:space="preserve">,</w:t>
      </w:r>
      <w:r>
        <w:t xml:space="preserve"> </w:t>
      </w:r>
      <w:r>
        <w:rPr>
          <w:i/>
          <w:iCs/>
        </w:rPr>
        <w:t xml:space="preserve">t</w:t>
      </w:r>
      <w:r>
        <w:t xml:space="preserve">) within 25 km of at least one fire at</w:t>
      </w:r>
      <w:r>
        <w:t xml:space="preserve"> </w:t>
      </w:r>
      <w:r>
        <w:rPr>
          <w:i/>
          <w:iCs/>
        </w:rPr>
        <w:t xml:space="preserve">t</w:t>
      </w:r>
      <w:r>
        <w:t xml:space="preserve">−1.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w:r>
        <w:rPr>
          <w:i/>
          <w:iCs/>
        </w:rPr>
        <w:t xml:space="preserve">F</w:t>
      </w:r>
      <w:r>
        <w:rPr>
          <w:i/>
          <w:iCs/>
          <w:vertAlign w:val="subscript"/>
        </w:rPr>
        <w:t xml:space="preserve">t</w:t>
      </w:r>
      <w:r>
        <w:t xml:space="preserve"> </w:t>
      </w:r>
      <w:r>
        <w:t xml:space="preserve">be the set of cells with a thermal detection on day</w:t>
      </w:r>
      <w:r>
        <w:t xml:space="preserve"> </w:t>
      </w:r>
      <w:r>
        <w:rPr>
          <w:i/>
          <w:iCs/>
        </w:rPr>
        <w:t xml:space="preserve">t</w:t>
      </w:r>
      <w:r>
        <w:t xml:space="preserve">. D2 ignition at cell</w:t>
      </w:r>
      <w:r>
        <w:t xml:space="preserve"> </w:t>
      </w:r>
      <w:r>
        <w:rPr>
          <w:i/>
          <w:iCs/>
        </w:rPr>
        <w:t xml:space="preserve">i</w:t>
      </w:r>
      <w:r>
        <w:t xml:space="preserve"> </w:t>
      </w:r>
      <w:r>
        <w:t xml:space="preserve">and day</w:t>
      </w:r>
      <w:r>
        <w:t xml:space="preserve"> </w:t>
      </w:r>
      <w:r>
        <w:rPr>
          <w:i/>
          <w:iCs/>
        </w:rPr>
        <w:t xml:space="preserve">t</w:t>
      </w:r>
      <w:r>
        <w:t xml:space="preserve"> </w:t>
      </w:r>
      <w:r>
        <w:t xml:space="preserve">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no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of</w:t>
      </w:r>
      <w:r>
        <w:t xml:space="preserve"> </w:t>
      </w:r>
      <w:r>
        <w:rPr>
          <w:i/>
          <w:iCs/>
        </w:rPr>
        <w:t xml:space="preserve">i</w:t>
      </w:r>
      <w:r>
        <w:t xml:space="preserve">, and no detection in cell</w:t>
      </w:r>
      <w:r>
        <w:t xml:space="preserve"> </w:t>
      </w:r>
      <w:r>
        <w:rPr>
          <w:i/>
          <w:iCs/>
        </w:rPr>
        <w:t xml:space="preserve">i</w:t>
      </w:r>
      <w:r>
        <w:t xml:space="preserve"> </w:t>
      </w:r>
      <w:r>
        <w:t xml:space="preserve">during the ten preceding days. D2 propagation requires</w:t>
      </w:r>
      <w:r>
        <w:t xml:space="preserve"> </w:t>
      </w:r>
      <w:r>
        <w:rPr>
          <w:i/>
          <w:iCs/>
        </w:rPr>
        <w:t xml:space="preserve">i</w:t>
      </w:r>
      <w:r>
        <w:t xml:space="preserve"> </w:t>
      </w:r>
      <w:r>
        <w:t xml:space="preserve">∈</w:t>
      </w:r>
      <w:r>
        <w:t xml:space="preserve"> </w:t>
      </w:r>
      <w:r>
        <w:rPr>
          <w:i/>
          <w:iCs/>
        </w:rPr>
        <w:t xml:space="preserve">F</w:t>
      </w:r>
      <w:r>
        <w:rPr>
          <w:i/>
          <w:iCs/>
          <w:vertAlign w:val="subscript"/>
        </w:rPr>
        <w:t xml:space="preserve">t</w:t>
      </w:r>
      <w:r>
        <w:t xml:space="preserve"> </w:t>
      </w:r>
      <w:r>
        <w:t xml:space="preserve">and at least one cell in</w:t>
      </w:r>
      <w:r>
        <w:t xml:space="preserve"> </w:t>
      </w:r>
      <w:r>
        <w:rPr>
          <w:i/>
          <w:iCs/>
        </w:rPr>
        <w:t xml:space="preserve">F</w:t>
      </w:r>
      <w:r>
        <w:rPr>
          <w:i/>
          <w:iCs/>
          <w:vertAlign w:val="subscript"/>
        </w:rPr>
        <w:t xml:space="preserve">t</w:t>
      </w:r>
      <w:r>
        <w:rPr>
          <w:vertAlign w:val="subscript"/>
        </w:rPr>
        <w:t xml:space="preserve">−1</w:t>
      </w:r>
      <w:r>
        <w:t xml:space="preserve"> </w:t>
      </w:r>
      <w:r>
        <w:t xml:space="preserve">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 xml:space="preserve">2.2 Biophysical gate and decoupled inference</w:t>
      </w:r>
    </w:p>
    <w:p>
      <w:pPr>
        <w:pStyle w:val="FirstParagraph"/>
      </w:pPr>
      <w:r>
        <w:t xml:space="preserve">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rPr>
          <w:t xml:space="preserve">Figure 1</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M3/M2 ignition and t-1 propagation, reproducible evaluation and open outputs.</w:t>
            </w:r>
          </w:p>
          <w:bookmarkEnd w:id="15"/>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&amp;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w:t>
      </w:r>
      <w:r>
        <w:rPr>
          <w:i/>
          <w:iCs/>
        </w:rPr>
        <w:t xml:space="preserve">β</w:t>
      </w:r>
      <w:r>
        <w:t xml:space="preserve"> </w:t>
      </w:r>
      <w:r>
        <w:t xml:space="preserve">=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1 000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We define a pre-specified family of six confirmatory comparisons (four against FWI and INPE and two M3 − M2) and report Holm–Bonferroni and Benjamini–Hochberg adjusted p-values; all remain significant at α = 0.05 (Holm p = 0.006, BH p = 0.001). The bootstrap resolution is 0.001, so raw p-values at the floor are upper bounds.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 xml:space="preserve">2.4 Data and implementation</w:t>
      </w:r>
    </w:p>
    <w:p>
      <w:pPr>
        <w:pStyle w:val="FirstParagraph"/>
      </w:pPr>
      <w:r>
        <w:t xml:space="preserve">The grid contains 400 006 cells of 1 km² in Universal Transverse Mercator (UTM) zone 21S. Daily inputs are VIIRS 375 m active fire detections from Suomi-NPP, NOAA-20 and NOAA-21</w:t>
      </w:r>
      <w:r>
        <w:t xml:space="preserve"> </w:t>
      </w:r>
      <w:r>
        <w:t xml:space="preserve">(Schroeder et al., 2014)</w:t>
      </w:r>
      <w:r>
        <w:t xml:space="preserve">; ERA5-Land 3-hourly meteorology aggregated to daily values</w:t>
      </w:r>
      <w:r>
        <w:t xml:space="preserve"> </w:t>
      </w:r>
      <w:r>
        <w:t xml:space="preserve">(Muñoz-Sabater et al., 2021)</w:t>
      </w:r>
      <w:r>
        <w:t xml:space="preserve">; annual MapBiomas Collection 2 maps (2017–2023), joined to each row with the prior-year map</w:t>
      </w:r>
      <w:r>
        <w:t xml:space="preserve"> </w:t>
      </w:r>
      <w:r>
        <w:t xml:space="preserve">(MapBiomas Chaco, 2023)</w:t>
      </w:r>
      <w:r>
        <w:t xml:space="preserve">; Hansen Global Forest Change (GFC-2025 v1.13) tree-cover loss at t-1 and t-2</w:t>
      </w:r>
      <w:r>
        <w:t xml:space="preserve"> </w:t>
      </w:r>
      <w:r>
        <w:t xml:space="preserve">(Hansen et al., 2013)</w:t>
      </w:r>
      <w:r>
        <w:t xml:space="preserve">;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w:t>
      </w:r>
      <w:r>
        <w:t xml:space="preserve"> </w:t>
      </w:r>
      <w:r>
        <w:t xml:space="preserve">(Raasveldt &amp; Mühleisen, 2019)</w:t>
      </w:r>
      <w:r>
        <w:t xml:space="preserve">.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 (EPSG:32721).</w:t>
            </w:r>
          </w:p>
          <w:bookmarkEnd w:id="21"/>
        </w:tc>
      </w:tr>
    </w:tbl>
    <w:bookmarkEnd w:id="22"/>
    <w:bookmarkEnd w:id="23"/>
    <w:bookmarkStart w:id="46" w:name="results"/>
    <w:p>
      <w:pPr>
        <w:pStyle w:val="Heading1"/>
      </w:pPr>
      <w:r>
        <w:t xml:space="preserve">3. Results</w:t>
      </w:r>
    </w:p>
    <w:bookmarkStart w:id="30"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summarizes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The paired M3 − M2 difference was +0.0028 [+0.0001, +0.0054] ROC-AUC and +0.0089 [+0.0034, +0.0144] PR-AUC in Chaco, and +0.0132 [+0.0097, +0.0169] and +0.0221 [+0.0166, +0.0272] in Oriental (grouped-by-date bootstrap, B = 1 000).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t xml:space="preserve"> </w:t>
            </w:r>
            <w:r>
              <w:rPr>
                <w:i/>
                <w:iCs/>
              </w:rPr>
              <w:t xml:space="preserve">β</w:t>
            </w:r>
            <w:r>
              <w:t xml:space="preserve"> </w:t>
            </w:r>
            <w:r>
              <w:t xml:space="preserve">= 0.5.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(95 % bootstrap CI 0.075–0.088) in Chaco and 0.198 % (0.178–0.222) in Oriental; recall is 27.3 % (26.2–28.6) and 20.7 % (19.3–22.3). Propagation precision is 9.67 % (9.09–10.32) and 4.78 % (4.13–5.49).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prioritization and nowcast layer, not a stand-alone alert system. Figure S8 shows the precision–budget trade-off: at 100 alerts/day, M3 ignition precision is 0.21 %/0.66 % and propagation precision is 22.1 %/10.0 %, falling to 0.15 %/0.28 % and 5.1 %/3.3 % at 1 000 alerts/day.</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+0.2848 in Chaco and +0.1970 in Oriental, and INPE by +0.2633 and +0.2544. All paired comparisons have raw p ≤ 0.001 with B = 1 000; Holm-adjusted p = 0.006 and BH-adjusted p = 0.001, so all six remain significant at α = 0.05. To keep the comparison symmetric, the FWI and INPE operating points were selected on the same 2023 validation split with the identical F0.5 rule applied to the models and then frozen for the retrospective test (</w:t>
      </w:r>
      <w:hyperlink w:anchor="tbl-benchmark">
        <w:r>
          <w:rPr>
            <w:rStyle w:val="Hyperlink"/>
          </w:rPr>
          <w:t xml:space="preserve">Table 3</w:t>
        </w:r>
      </w:hyperlink>
      <w:r>
        <w:t xml:space="preserve">); the resulting cutoffs are 0.3029 and 0.8963 in Chaco and 2.1509 and 0.0750 in Oriental for FWI and INPE, respectively. The complete implementation, including fuel codes, initialization and same-day meteorology, is documented in Supplementary Note S4.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Table 3: Benchmark on the retrospective 2024–2025 test. ΔROC is M3 minus the reference. Cutoffs for every row, including FWI and INPE, were selected on 2023 validation by maximizing F0.5 and then frozen for 2024–2025; precision and recall are case-control at that cutoff. FWI is on the Canadian index scale and INPE on a 0–1 risk scale, so cutoffs are not comparable across indices. The weather-only GBT is a LightGBM trained with the same capacity and calibration but restricted to the FWI information set. Dashes (—) indicate reference models or comparisons not evaluated by construction. The p column reports raw p-values; Holm-adjusted p is 0.006 for the six-test confirmatory family (Supplementary Table S7). The full table is Supplementary Table S11.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(M3 − reference)</w:t>
                  </w:r>
                </w:p>
              </w:tc>
              <w:tc>
                <w:tcPr/>
                <w:p>
                  <w:pPr>
                    <w:pStyle w:val="Compact"/>
                    <w:jc w:val="right"/>
                    <w:jc w:val="center"/>
                  </w:pPr>
                  <w:r>
                    <w:t xml:space="preserve">p (raw)</w:t>
                  </w:r>
                </w:p>
              </w:tc>
              <w:tc>
                <w:tcPr/>
                <w:p>
                  <w:pPr>
                    <w:pStyle w:val="Compact"/>
                    <w:jc w:val="right"/>
                    <w:jc w:val="center"/>
                  </w:pPr>
                  <w:r>
                    <w:t xml:space="preserve">Cutoff</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c>
                <w:tcPr/>
                <w:p>
                  <w:pPr>
                    <w:pStyle w:val="Compact"/>
                    <w:jc w:val="right"/>
                    <w:jc w:val="center"/>
                  </w:pPr>
                  <w:r>
                    <w:t xml:space="preserve">0.3029</w:t>
                  </w:r>
                </w:p>
              </w:tc>
              <w:tc>
                <w:tcPr/>
                <w:p>
                  <w:pPr>
                    <w:pStyle w:val="Compact"/>
                    <w:jc w:val="right"/>
                    <w:jc w:val="center"/>
                  </w:pPr>
                  <w:r>
                    <w:t xml:space="preserve">9.28</w:t>
                  </w:r>
                </w:p>
              </w:tc>
              <w:tc>
                <w:tcPr/>
                <w:p>
                  <w:pPr>
                    <w:pStyle w:val="Compact"/>
                    <w:jc w:val="right"/>
                    <w:jc w:val="center"/>
                  </w:pPr>
                  <w:r>
                    <w:t xml:space="preserve">96.08</w:t>
                  </w:r>
                </w:p>
              </w:tc>
              <w:tc>
                <w:tcPr/>
                <w:p>
                  <w:pPr>
                    <w:pStyle w:val="Compact"/>
                    <w:jc w:val="right"/>
                    <w:jc w:val="center"/>
                  </w:pPr>
                  <w:r>
                    <w:t xml:space="preserve">0.1133</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c>
                <w:tcPr/>
                <w:p>
                  <w:pPr>
                    <w:pStyle w:val="Compact"/>
                    <w:jc w:val="right"/>
                    <w:jc w:val="center"/>
                  </w:pPr>
                  <w:r>
                    <w:t xml:space="preserve">0.8963</w:t>
                  </w:r>
                </w:p>
              </w:tc>
              <w:tc>
                <w:tcPr/>
                <w:p>
                  <w:pPr>
                    <w:pStyle w:val="Compact"/>
                    <w:jc w:val="right"/>
                    <w:jc w:val="center"/>
                  </w:pPr>
                  <w:r>
                    <w:t xml:space="preserve">11.72</w:t>
                  </w:r>
                </w:p>
              </w:tc>
              <w:tc>
                <w:tcPr/>
                <w:p>
                  <w:pPr>
                    <w:pStyle w:val="Compact"/>
                    <w:jc w:val="right"/>
                    <w:jc w:val="center"/>
                  </w:pPr>
                  <w:r>
                    <w:t xml:space="preserve">12.57</w:t>
                  </w:r>
                </w:p>
              </w:tc>
              <w:tc>
                <w:tcPr/>
                <w:p>
                  <w:pPr>
                    <w:pStyle w:val="Compact"/>
                    <w:jc w:val="right"/>
                    <w:jc w:val="center"/>
                  </w:pPr>
                  <w:r>
                    <w:t xml:space="preserve">0.1188</w:t>
                  </w:r>
                </w:p>
              </w:tc>
            </w:tr>
            <w:tr>
              <w:tc>
                <w:tcPr/>
                <w:p>
                  <w:pPr>
                    <w:pStyle w:val="Compact"/>
                    <w:jc w:val="left"/>
                    <w:jc w:val="center"/>
                  </w:pPr>
                  <w:r>
                    <w:t xml:space="preserve">Chaco</w:t>
                  </w:r>
                </w:p>
              </w:tc>
              <w:tc>
                <w:tcPr/>
                <w:p>
                  <w:pPr>
                    <w:pStyle w:val="Compact"/>
                    <w:jc w:val="left"/>
                    <w:jc w:val="center"/>
                  </w:pPr>
                  <w:r>
                    <w:t xml:space="preserve">Weather-only GBT</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c>
                <w:tcPr/>
                <w:p>
                  <w:pPr>
                    <w:pStyle w:val="Compact"/>
                    <w:jc w:val="right"/>
                    <w:jc w:val="center"/>
                  </w:pPr>
                  <w:r>
                    <w:t xml:space="preserve">2.1509</w:t>
                  </w:r>
                </w:p>
              </w:tc>
              <w:tc>
                <w:tcPr/>
                <w:p>
                  <w:pPr>
                    <w:pStyle w:val="Compact"/>
                    <w:jc w:val="right"/>
                    <w:jc w:val="center"/>
                  </w:pPr>
                  <w:r>
                    <w:t xml:space="preserve">10.76</w:t>
                  </w:r>
                </w:p>
              </w:tc>
              <w:tc>
                <w:tcPr/>
                <w:p>
                  <w:pPr>
                    <w:pStyle w:val="Compact"/>
                    <w:jc w:val="right"/>
                    <w:jc w:val="center"/>
                  </w:pPr>
                  <w:r>
                    <w:t xml:space="preserve">38.99</w:t>
                  </w:r>
                </w:p>
              </w:tc>
              <w:tc>
                <w:tcPr/>
                <w:p>
                  <w:pPr>
                    <w:pStyle w:val="Compact"/>
                    <w:jc w:val="right"/>
                    <w:jc w:val="center"/>
                  </w:pPr>
                  <w:r>
                    <w:t xml:space="preserve">0.1258</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c>
                <w:tcPr/>
                <w:p>
                  <w:pPr>
                    <w:pStyle w:val="Compact"/>
                    <w:jc w:val="right"/>
                    <w:jc w:val="center"/>
                  </w:pPr>
                  <w:r>
                    <w:t xml:space="preserve">0.0750</w:t>
                  </w:r>
                </w:p>
              </w:tc>
              <w:tc>
                <w:tcPr/>
                <w:p>
                  <w:pPr>
                    <w:pStyle w:val="Compact"/>
                    <w:jc w:val="right"/>
                    <w:jc w:val="center"/>
                  </w:pPr>
                  <w:r>
                    <w:t xml:space="preserve">9.24</w:t>
                  </w:r>
                </w:p>
              </w:tc>
              <w:tc>
                <w:tcPr/>
                <w:p>
                  <w:pPr>
                    <w:pStyle w:val="Compact"/>
                    <w:jc w:val="right"/>
                    <w:jc w:val="center"/>
                  </w:pPr>
                  <w:r>
                    <w:t xml:space="preserve">79.47</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Weather-only GBT</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Because the INPE implementation weights A by land-cover fractions (the primary specification), we repeated the benchmark with a fixed A = 3.0 (the INPE open-savanna coefficient, fixed a priori). The fixed version reaches ROC-AUC 0.4979/0.5497 versus 0.5389/0.4990 for local A (ΔROC = −0.0409/+0.0508; p = 0.001; Table S22). The sign of the difference is region-dependent, but both versions remain far below M3 (0.8021/0.7534), so the weak INPE performance is not an artefact of the local land-cover weighting. Combining the two indices with the full M3 feature set does not close the gap: the augmented GBT reaches ROC-AUC 0.8013/0.7547 versus 0.8021/0.7534 for M3 (Δ = −0.0009/+0.0013; p = 0.182/0.001; Table S11 continuation). Once fuel, accessibility and historical context are present, the indices add essentially no ranking information; in Oriental the small gain is statistically detectable but operationally negligible.</w:t>
      </w:r>
    </w:p>
    <w:p>
      <w:pPr>
        <w:pStyle w:val="BodyText"/>
      </w:pPr>
      <w:r>
        <w:t xml:space="preserve">The weather-only control isolates the source of the gap. A LightGBM trained with the same capacity, calibration and cutoff rule but restricted to the FWI information set (temperature, atmospheric demand, wind, rainfall, FFMC and ISI) reaches ROC-AUC 0.5512/0.5645 (Chaco/Oriental), only +0.0339/+0.0081 above full FWI and far below M3 (0.8021/0.7534; ΔROC = +0.2509/+0.1889, p ≤ 0.001). The failure of the canonical indices is therefore an information limitation rather than an artefact of their formulation or of the learner: without fuel, accessibility and anthropogenic priors, a modern gradient-boosted learner recovers essentially the same ceiling as the index. Full details are in Supplementary Table S21.</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 xml:space="preserve">(Lundberg et al., 2020)</w:t>
      </w:r>
      <w:r>
        <w:t xml:space="preserve"> </w:t>
      </w:r>
      <w:r>
        <w:t xml:space="preserve">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INPE and the weather-only GBT under D2.</w:t>
            </w:r>
          </w:p>
          <w:bookmarkEnd w:id="35"/>
        </w:tc>
      </w:tr>
    </w:tbl>
    <w:bookmarkEnd w:id="36"/>
    <w:bookmarkStart w:id="38"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The development spatial design retains 44 blocks and excludes a 20-km buffer around holdout cells during training; priors are recomputed without held-out fires. An independent confirmation holdout (31 blocks, 68 719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 xml:space="preserve">Because the test is temporal, 90.65 % of its cells also appear in training. Restricting to cells never seen in training (n = 23 074/9 378; 2 115/882 positives) lowers M3 ROC-AUC from 0.8021/0.7534 to 0.7841/0.7148 and M2 from 0.7991/0.7406 to 0.7781/0.7089, but the M3 &gt; M2 ordering persists in ROC-AUC (+0.0060/+0.0059; paired bootstrap p = 0.004/0.174) and in PR-AUC (+0.0152/+0.0133; p = 0.012/0.018). Excluding cells with any fire in training keeps the ROC gap positive and resolved (p = 0.008/≤0.001); in 2025 the gap is positive but only resolved in Oriental (p = 0.120/≤0.001). In the no-history domain the sign reverses by region: M2 is ahead in Chaco (Δ = −0.0035, p = 0.002) and M3 in Oriental (Δ = +0.0101, p ≤ 0.001). The drop is modest, but the unseen-cell subset is small, spatially biased and not a substitute for a blind spatial holdout (Supplementary Table S27).</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 A four-fold rolling-origin backtest retrained M1/M2/M3 with training through Y−2, validation on Y−1 and test on Y. The M3−M2 ROC-AUC difference was +0.0030/+0.0059 in 2022, +0.0029/+0.0120 in 2023, +0.0038/+0.0166 in 2024 and +0.0019/+0.0084 in 2025 (Chaco/Oriental); the corresponding p-values were 0.032/0.006, 0.082/0.001, 0.004/0.001 and 0.148/0.001. The sign was positive in all eight region-fold comparisons, and M1 remained below M2 in every fold (Table S26; Figure S5). The temporal ordering is therefore not an artefact of the single 2024–2025 split. Across 20 runs (five seeds × two capacities × two regions), the M3−M2 difference remained positive in every run, with mean differences of +0.0036/+0.0035 in Chaco and +0.0128/+0.0128 in Oriental for the current/high-capacity configurations (Table S25). Adversarial validation separates training (2018–2022) from test (2024–2025) rows with AUC 0.8832/0.9241 (Chaco/Oriental); day-of-year, seasonal harmonics, 25-km historical density and 60-day water deficit dominate the discriminator (Table S29). The shift is real and is not eliminated by the temporal design; it is why the spatial and all-cell results are reported separately. Three further sensitivities bound the result. Stricter gate thresholds (VPD ≥ 1.0/1.2 kPa and 48-h rainfall &lt; 5/2 mm) retained 92–73 % of test positives and left M3 above M2 and FWI; removing the gate entirely (independent 1:10 sample) lowered M3 to 0.7924/0.7510 and M2 to 0.7833/0.7379, but M3 remained above M2 (+0.0091/+0.0131) and FWI (0.5105/0.5457; Table S31). Restricting labels to high-confidence detections retained 12.2 %/6.5 % of positives and raised ROC-AUC to 0.8228/0.7793, but precision–recall fell (0.0719/0.0246) because the retained subset has a different prevalence; FRP ≥ 10 MW retained 31.9 %/19.0 % and gave 0.8136/0.7763 (Table S30). The cloud-mask variant is unavailable. Sampling at 1:5 changed ROC-AUC by less than 0.001; the independent 1:20 sample lowered Chaco M3 ROC-AUC to 0.7926 and population precision by about 7 %, while Oriental remained stable (0.7526), and M3 stayed above M2 in both regions (Table S28). A permuted-label negative control reached AUC 0.6297/0.5138; removing historical features did not lower it (0.6276/0.5168), indicating residual cell-level association or feature leakage in Chaco (Table S32; Figure S7). The M3 score should therefore be read as a nowcast/prioritization signal, not a causal attribution.</w:t>
      </w:r>
    </w:p>
    <w:bookmarkEnd w:id="38"/>
    <w:bookmarkStart w:id="43" w:name="operational-value"/>
    <w:p>
      <w:pPr>
        <w:pStyle w:val="Heading2"/>
      </w:pPr>
      <w:r>
        <w:t xml:space="preserve">3.4 Operational value</w:t>
      </w:r>
    </w:p>
    <w:p>
      <w:pPr>
        <w:pStyle w:val="FirstParagraph"/>
      </w:pPr>
      <w:r>
        <w:t xml:space="preserve">The cost-loss analysis is sobering for ignition: in Chaco, M3 and M2 are indistinguishable at every α (paired ΔV intervals include zero), and the M2 point estimate is marginally higher at the optimum (0.373 vs 0.372). In Oriental, M3 exceeds M2 for α = 0.0002–0.005. Against FWI, M3 has positive decision value for α = 0.0001–0.001 in Chaco and 0.0001–0.005 in Oriental (paired intervals exclude zero; Supplementary Table S24). The propagation layer does show value near</w:t>
      </w:r>
      <w:r>
        <w:t xml:space="preserve"> </w:t>
      </w:r>
      <w:r>
        <w:rPr>
          <w:i/>
          <w:iCs/>
        </w:rPr>
        <w:t xml:space="preserve">α</w:t>
      </w:r>
      <w:r>
        <w:t xml:space="preserve"> </w:t>
      </w:r>
      <w:r>
        <w:t xml:space="preserve">= 0.002: V = 0.628 [0.608–0.646] in Chaco and 0.399 [0.371–0.419] in Oriental, with intervals excluding zero. The full cost-loss table and curves, including 95 % date-grouped bootstrap bands (B = 1 000), are in Supplementary Table S14 and Supplementary Figure S3. The operational product therefore prioritizes propagation and uses ignition as a screening layer: the ignition layer adds decision value over FWI at low α but not over M2 in Chaco.</w:t>
      </w:r>
    </w:p>
    <w:p>
      <w:pPr>
        <w:pStyle w:val="BodyText"/>
      </w:pPr>
      <w:r>
        <w:t xml:space="preserve">Decision curve analysis on the case-control sample (Figure S4; Table S23) reproduces the ordering: at</w:t>
      </w:r>
      <w:r>
        <w:t xml:space="preserve"> </w:t>
      </w:r>
      <m:oMath>
        <m:sSub>
          <m:e>
            <m:r>
              <m:t>p</m:t>
            </m:r>
          </m:e>
          <m:sub>
            <m:r>
              <m:t>t</m:t>
            </m:r>
          </m:sub>
        </m:sSub>
        <m:r>
          <m:rPr>
            <m:sty m:val="p"/>
          </m:rPr>
          <m:t>=</m:t>
        </m:r>
        <m:r>
          <m:t>0.10</m:t>
        </m:r>
      </m:oMath>
      <w:r>
        <w:t xml:space="preserve">, M3 yields 37.6/29.4 net detections per 1 000 sampled cell-days, M2 37.7/27.3, M1 13.5/19.9 and FWI 0.1/2.8 (Chaco/Oriental); the propagation model remains positive up to</w:t>
      </w:r>
      <w:r>
        <w:t xml:space="preserve"> </w:t>
      </w:r>
      <m:oMath>
        <m:sSub>
          <m:e>
            <m:r>
              <m:t>p</m:t>
            </m:r>
          </m:e>
          <m:sub>
            <m:r>
              <m:t>t</m:t>
            </m:r>
          </m:sub>
        </m:sSub>
        <m:r>
          <m:rPr>
            <m:sty m:val="p"/>
          </m:rPr>
          <m:t>≈</m:t>
        </m:r>
        <m:r>
          <m:t>0.7</m:t>
        </m:r>
      </m:oMath>
      <w:r>
        <w:t xml:space="preserve">. Because net benefit is computed on the case-control sample, it complements the population-weighted decision value in Table S14.</w:t>
      </w:r>
    </w:p>
    <w:p>
      <w:pPr>
        <w:pStyle w:val="BodyText"/>
      </w:pPr>
      <w:r>
        <w:t xml:space="preserve">Operationally (Table S23), at the frozen ignition cutoff M3 issues 8 238/3 073 alerts per day in Chaco/Oriental with population precision 0.082/0.198 % (1 227/504 alerts per hit; lift 5.3×/4.8×). A budget of 100 alerts/day raises ignition precision only to 0.21/0.66 % (recall 0.86/2.24 %), confirming that ignition is a screening layer. Propagation needs 10.3/20.9 alerts per hit (lift 62×/23×) at 452/525 alerts/day; at 100/day its precision is 22.1/10.0 % and recall 25.7/7.5 %. The α that maximises V(α) is 0.0001–0.0005 for ignition and 0.002 for propagation. The F0.5 cutoff is not uniquely privileged. Selecting cutoffs by F1, F2 or Youden changes the operating point but not the conclusion (Table S14 continuation; Figure S6). For M3 ignition in Chaco, precision/recall move from 0.328/0.303 at F0.5 to 0.273/0.494 at F1 and 0.182/0.815 at F2; in Oriental they move from 0.301/0.186 to 0.235/0.390 and 0.173/0.699. Propagation remains the stronger layer: Chaco precision/recall is 0.837/0.524 at F0.5 and 0.515/0.702 at F2; Oriental 0.650/0.199 and 0.215/0.632. The screening/propagation ranking is therefore robust to the threshold criterion.</w:t>
      </w:r>
    </w:p>
    <w:p>
      <w:pPr>
        <w:pStyle w:val="BodyText"/>
      </w:pPr>
      <w:r>
        <w:t xml:space="preserve">At their frozen F0.5 operating points, FWI and INPE have positive decision value only in a narrow low-α window (0.0001–0.0005) and negative value for α ≥ 0.001 (V clipped at −1); even in that window they remain far below M3/M2 (Chaco FWI 0.069 vs M3 0.372 at α = 0.0001; Oriental FWI 0.095 vs M3 0.313 at α = 0.0005). Allowing the indices their best validation threshold at each α leaves the ranking unchanged (Table S24). The AUC advantage of M3 therefore translates into decision value against the indices, but not uniformly against M2.</w:t>
      </w:r>
    </w:p>
    <w:p>
      <w:pPr>
        <w:pStyle w:val="BodyText"/>
      </w:pPr>
      <w:r>
        <w:t xml:space="preserve">Cost-loss is defined as the expected value of issuing an alert when the cost of a false alarm is</w:t>
      </w:r>
      <w:r>
        <w:t xml:space="preserve"> </w:t>
      </w:r>
      <w:r>
        <w:rPr>
          <w:i/>
          <w:iCs/>
        </w:rPr>
        <w:t xml:space="preserve">C</w:t>
      </w:r>
      <w:r>
        <w:t xml:space="preserve"> </w:t>
      </w:r>
      <w:r>
        <w:t xml:space="preserve">and the loss avoided by a true alert is</w:t>
      </w:r>
      <w:r>
        <w:t xml:space="preserve"> </w:t>
      </w:r>
      <w:r>
        <w:rPr>
          <w:i/>
          <w:iCs/>
        </w:rPr>
        <w:t xml:space="preserve">L</w:t>
      </w:r>
      <w:r>
        <w:t xml:space="preserve">; the ratio</w:t>
      </w:r>
      <w:r>
        <w:t xml:space="preserve"> </w:t>
      </w:r>
      <w:r>
        <w:rPr>
          <w:i/>
          <w:iCs/>
        </w:rPr>
        <w:t xml:space="preserve">α</w:t>
      </w:r>
      <w:r>
        <w:t xml:space="preserve"> </w:t>
      </w:r>
      <w:r>
        <w:t xml:space="preserve">=</w:t>
      </w:r>
      <w:r>
        <w:t xml:space="preserve"> </w:t>
      </w:r>
      <w:r>
        <w:rPr>
          <w:i/>
          <w:iCs/>
        </w:rPr>
        <w:t xml:space="preserve">C</w:t>
      </w:r>
      <w:r>
        <w:t xml:space="preserve">/</w:t>
      </w:r>
      <w:r>
        <w:rPr>
          <w:i/>
          <w:iCs/>
        </w:rPr>
        <w:t xml:space="preserve">L</w:t>
      </w:r>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 xml:space="preserve">α</w:t>
      </w:r>
      <w:r>
        <w:t xml:space="preserve">. The result supports the operational choice of prioritizing propagation and treating ignition as a screening layer.</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Illustrative national 1-km² alert map for 2024-09-09, showing the spatial distribution of low, moderate and high alert cells.</w:t>
            </w:r>
          </w:p>
          <w:bookmarkEnd w:id="42"/>
        </w:tc>
      </w:tr>
    </w:tbl>
    <w:bookmarkEnd w:id="43"/>
    <w:bookmarkStart w:id="44" w:name="calibration"/>
    <w:p>
      <w:pPr>
        <w:pStyle w:val="Heading2"/>
      </w:pPr>
      <w:r>
        <w:t xml:space="preserve">3.5 Calibration</w:t>
      </w:r>
    </w:p>
    <w:p>
      <w:pPr>
        <w:pStyle w:val="FirstParagraph"/>
      </w:pPr>
      <w:r>
        <w:t xml:space="preserve">Expected calibration error for M3 is 0.0082/0.0082 in Chaco/Oriental (Table S11), and 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bookmarkEnd w:id="44"/>
    <w:bookmarkStart w:id="45" w:name="reproducibility-checks"/>
    <w:p>
      <w:pPr>
        <w:pStyle w:val="Heading2"/>
      </w:pPr>
      <w:r>
        <w:t xml:space="preserve">3.6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v2.0.1; the code and data concept DOIs are reported in the Code and Data Availability sections.</w:t>
      </w:r>
    </w:p>
    <w:bookmarkEnd w:id="45"/>
    <w:bookmarkEnd w:id="46"/>
    <w:bookmarkStart w:id="51" w:name="discussion"/>
    <w:p>
      <w:pPr>
        <w:pStyle w:val="Heading1"/>
      </w:pPr>
      <w:r>
        <w:t xml:space="preserve">4. Discussion</w:t>
      </w:r>
    </w:p>
    <w:bookmarkStart w:id="47"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 xml:space="preserve">(Flannigan et al., 2016; Van Wagner, 1987)</w:t>
      </w:r>
      <w:r>
        <w:t xml:space="preserve">. In the semi-arid Chaco, the load-bearing fuels are fine grassy and shrub fuels that respond within hours to atmospheric demand, while the spatial pattern of ignition is governed by land-management and access-related sources. FWI is purely meteorological; the INPE formulation used here incorporates land-cover fractions, yet neither carries the fine-scale anthropogenic and accessibility information that dominates ignition in the Chaco, and their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 These indices are not only weaker rankers; wherever either remains positive, they also generate less decision value than M3 (Table S14).</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7"/>
    <w:bookmarkStart w:id="48"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w:t>
      </w:r>
      <w:r>
        <w:rPr>
          <w:i/>
          <w:iCs/>
        </w:rPr>
        <w:t xml:space="preserve">t</w:t>
      </w:r>
      <w:r>
        <w:t xml:space="preserve">−1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 A fourth view, decision value, asks whether the ranking survives a cost-loss ratio; it is the view that determines operational use.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w:t>
      </w:r>
      <w:r>
        <w:t xml:space="preserve"> </w:t>
      </w:r>
      <w:r>
        <w:rPr>
          <w:i/>
          <w:iCs/>
        </w:rPr>
        <w:t xml:space="preserve">t</w:t>
      </w:r>
      <w:r>
        <w:t xml:space="preserve">−1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8"/>
    <w:bookmarkStart w:id="49" w:name="X89437c5d496b7b740d35454d9c653eebb75780f"/>
    <w:p>
      <w:pPr>
        <w:pStyle w:val="Heading2"/>
      </w:pPr>
      <w:r>
        <w:t xml:space="preserve">4.3 Implications for computational geoscience</w:t>
      </w:r>
    </w:p>
    <w:p>
      <w:pPr>
        <w:pStyle w:val="FirstParagraph"/>
      </w:pPr>
      <w:r>
        <w:t xml:space="preserve">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9"/>
    <w:bookmarkStart w:id="50" w:name="limitations"/>
    <w:p>
      <w:pPr>
        <w:pStyle w:val="Heading2"/>
      </w:pPr>
      <w:r>
        <w:t xml:space="preserve">4.4 Limitations</w:t>
      </w:r>
    </w:p>
    <w:p>
      <w:pPr>
        <w:pStyle w:val="FirstParagraph"/>
      </w:pPr>
      <w:r>
        <w:t xml:space="preserve">Several limitations bound the interpretation of this study:</w:t>
      </w:r>
    </w:p>
    <w:p>
      <w:pPr>
        <w:pStyle w:val="Compact"/>
        <w:numPr>
          <w:ilvl w:val="0"/>
          <w:numId w:val="1004"/>
        </w:numPr>
      </w:pPr>
      <w:r>
        <w:rPr>
          <w:b/>
          <w:bCs/>
        </w:rPr>
        <w:t xml:space="preserve">Data and observational constraints.</w:t>
      </w:r>
      <w:r>
        <w:t xml:space="preserve"> </w:t>
      </w:r>
      <w:r>
        <w:t xml:space="preserve">The study covers one country and two macro-regions without external-country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 xml:space="preserve">Statistical and generalization limits.</w:t>
      </w:r>
      <w:r>
        <w:t xml:space="preserve"> </w:t>
      </w:r>
      <w:r>
        <w:t xml:space="preserve">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restricting to cells never seen in training reduces M3 ROC-AUC by 0.018/0.039 but keeps a positive M3 &gt; M2 gap in ROC-AUC and PR-AUC, although the ROC gap is not resolved in Oriental (Supplementary Table S27). Adversarial validation reaches AUC 0.8832/0.9241, confirming that the temporal shift is substantial and driven mainly by seasonal and historical-density features (Table S29). A permuted-label control remains above chance in Chaco (0.63), so residual cell-level or historical signal cannot be excluded; the score is a nowcasting signal, not a causal attribution. M3 loses its predictive advantage in unseen spatial blocks, which requires M2 as the operational fallback while M1 remains an insufficient baseline; conformal coverage (90.17 %/90.31 % at the 90 % level) is empirical rather than formally guaranteed under temporal shift; and the coupled</w:t>
      </w:r>
      <w:r>
        <w:t xml:space="preserve"> </w:t>
      </w:r>
      <w:r>
        <w:rPr>
          <w:i/>
          <w:iCs/>
        </w:rPr>
        <w:t xml:space="preserve">t</w:t>
      </w:r>
      <w:r>
        <w:t xml:space="preserve">−1 comparator (Supplementary Table S19) was evaluated on the same gated case-control sample, so it does not test removal of the biophysical gate.</w:t>
      </w:r>
    </w:p>
    <w:p>
      <w:pPr>
        <w:pStyle w:val="Compact"/>
        <w:numPr>
          <w:ilvl w:val="0"/>
          <w:numId w:val="1004"/>
        </w:numPr>
      </w:pPr>
      <w:r>
        <w:rPr>
          <w:b/>
          <w:bCs/>
        </w:rPr>
        <w:t xml:space="preserve">Operational and software scope.</w:t>
      </w:r>
      <w:r>
        <w:t xml:space="preserve"> </w:t>
      </w:r>
      <w:r>
        <w:t xml:space="preserve">Because the pipeline uses observed meteorology up to day</w:t>
      </w:r>
      <w:r>
        <w:t xml:space="preserve"> </w:t>
      </w:r>
      <w:r>
        <w:rPr>
          <w:i/>
          <w:iCs/>
        </w:rPr>
        <w:t xml:space="preserve">t</w:t>
      </w:r>
      <w:r>
        <w:t xml:space="preserve">, it functions as a nowcast/hindcast rather than a day-ahead forecast supported by numerical weather prediction. Population-level ignition precision is very low (0.082 %/0.198 %; 95 % CI 0.075–0.088/0.178–0.222),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50"/>
    <w:bookmarkEnd w:id="51"/>
    <w:bookmarkStart w:id="52" w:name="conclusions"/>
    <w:p>
      <w:pPr>
        <w:pStyle w:val="Heading1"/>
      </w:pPr>
      <w:r>
        <w:t xml:space="preserve">5. Conclusions</w:t>
      </w:r>
    </w:p>
    <w:p>
      <w:pPr>
        <w:pStyle w:val="FirstParagraph"/>
      </w:pPr>
      <w:r>
        <w:t xml:space="preserve">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0.5173/0.5564) and the INPE Risco de Fogo (0.5389/0.4990), and decoupling did not sacrifice discrimination relative to a coupled</w:t>
      </w:r>
      <w:r>
        <w:t xml:space="preserve"> </w:t>
      </w:r>
      <w:r>
        <w:rPr>
          <w:i/>
          <w:iCs/>
        </w:rPr>
        <w:t xml:space="preserve">t</w:t>
      </w:r>
      <w:r>
        <w:t xml:space="preserve">−1 baseline (Supplementary Table S19). Nevertheless, population-level ignition precision remains low (0.082 %/0.198 %; 95 % CI 0.075–0.088/0.178–0.222) and the hybrid advantage is strictly temporal rather than spatial. Decision-curve and cost-loss analyses locate the operational gain in propagation (V = 0.63/0.40 at α = 0.002) and in ignition only as a low-α screening layer, positioning the system as an operational screening and prioritization tool rather than a stand-alone warning system. A permuted-label control remains above chance in Chaco (0.63), so this ranking is a nowcasting signal rather than a causal attribution.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2"/>
    <w:bookmarkStart w:id="53" w:name="data-availability"/>
    <w:p>
      <w:pPr>
        <w:pStyle w:val="Heading1"/>
      </w:pPr>
      <w:r>
        <w:t xml:space="preserve">Data availability</w:t>
      </w:r>
    </w:p>
    <w:p>
      <w:pPr>
        <w:pStyle w:val="FirstParagraph"/>
      </w:pPr>
      <w:r>
        <w:t xml:space="preserve">Processed data, test predictions, trained models and derived tables are available in the anonymized review repository under CC BY 4.0 and are documented under the data concept DOI provided on the title page.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3"/>
    <w:bookmarkStart w:id="54" w:name="acknowledgments"/>
    <w:p>
      <w:pPr>
        <w:pStyle w:val="Heading1"/>
      </w:pPr>
      <w:r>
        <w:t xml:space="preserve">Acknowledgments</w:t>
      </w:r>
    </w:p>
    <w:p>
      <w:pPr>
        <w:pStyle w:val="FirstParagraph"/>
      </w:pPr>
      <w:r>
        <w:t xml:space="preserve">We thank NASA FIRMS, the Copernicus Climate Data Store, MapBiomas, Hansen/UMD and geoBoundaries for open data. The author is responsible for all interpretations and errors.</w:t>
      </w:r>
    </w:p>
    <w:bookmarkEnd w:id="54"/>
    <w:bookmarkStart w:id="55" w:name="funding"/>
    <w:p>
      <w:pPr>
        <w:pStyle w:val="Heading1"/>
      </w:pPr>
      <w:r>
        <w:t xml:space="preserve">Funding</w:t>
      </w:r>
    </w:p>
    <w:p>
      <w:pPr>
        <w:pStyle w:val="FirstParagraph"/>
      </w:pPr>
      <w:r>
        <w:t xml:space="preserve">This research received no specific grant from public, commercial or not-for-profit funding agencies.</w:t>
      </w:r>
    </w:p>
    <w:bookmarkEnd w:id="55"/>
    <w:bookmarkStart w:id="56" w:name="competing-interests"/>
    <w:p>
      <w:pPr>
        <w:pStyle w:val="Heading1"/>
      </w:pPr>
      <w:r>
        <w:t xml:space="preserve">Competing interests</w:t>
      </w:r>
    </w:p>
    <w:p>
      <w:pPr>
        <w:pStyle w:val="FirstParagraph"/>
      </w:pPr>
      <w:r>
        <w:t xml:space="preserve">The author declares no competing financial or non-financial interests.</w:t>
      </w:r>
    </w:p>
    <w:bookmarkEnd w:id="56"/>
    <w:bookmarkStart w:id="57" w:name="author-contributions"/>
    <w:p>
      <w:pPr>
        <w:pStyle w:val="Heading1"/>
      </w:pPr>
      <w:r>
        <w:t xml:space="preserve">Author contributions</w:t>
      </w:r>
    </w:p>
    <w:p>
      <w:pPr>
        <w:pStyle w:val="FirstParagraph"/>
      </w:pPr>
      <w:r>
        <w:t xml:space="preserve">Author 1: conceptualization, methodology, software, data curation, formal analysis, validation, visualization, writing—original draft, writing—review and editing, project administration.</w:t>
      </w:r>
    </w:p>
    <w:bookmarkEnd w:id="57"/>
    <w:bookmarkStart w:id="58" w:name="generative-ai-declaration"/>
    <w:p>
      <w:pPr>
        <w:pStyle w:val="Heading1"/>
      </w:pPr>
      <w:r>
        <w:t xml:space="preserve">Generative AI declaration</w:t>
      </w:r>
    </w:p>
    <w:p>
      <w:pPr>
        <w:pStyle w:val="FirstParagraph"/>
      </w:pPr>
      <w:r>
        <w:t xml:space="preserve">Generative AI tools were used for language editing and code assistance. The author reviewed and verified all content and takes full responsibility for the published article.</w:t>
      </w:r>
    </w:p>
    <w:bookmarkEnd w:id="58"/>
    <w:bookmarkStart w:id="59"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anonymized for peer review; contact via the Editor-in-Chief</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r>
        <w:t xml:space="preserve">anonymized review repository (link provided in the submission system)</w:t>
      </w:r>
      <w:r>
        <w:br/>
      </w:r>
      <w:r>
        <w:rPr>
          <w:b/>
          <w:bCs/>
        </w:rPr>
        <w:t xml:space="preserve">Code version DOI:</w:t>
      </w:r>
      <w:r>
        <w:t xml:space="preserve"> </w:t>
      </w:r>
      <w:r>
        <w:t xml:space="preserve">provided on the title page</w:t>
      </w:r>
      <w:r>
        <w:br/>
      </w:r>
      <w:r>
        <w:rPr>
          <w:b/>
          <w:bCs/>
        </w:rPr>
        <w:t xml:space="preserve">Data version DOI:</w:t>
      </w:r>
      <w:r>
        <w:t xml:space="preserve"> </w:t>
      </w:r>
      <w:r>
        <w:t xml:space="preserve">provided on the title page</w:t>
      </w:r>
      <w:r>
        <w:br/>
      </w:r>
      <w:r>
        <w:rPr>
          <w:b/>
          <w:bCs/>
        </w:rPr>
        <w:t xml:space="preserve">Code concept DOI:</w:t>
      </w:r>
      <w:r>
        <w:t xml:space="preserve"> </w:t>
      </w:r>
      <w:r>
        <w:t xml:space="preserve">provided on the title page</w:t>
      </w:r>
      <w:r>
        <w:br/>
      </w:r>
      <w:r>
        <w:rPr>
          <w:b/>
          <w:bCs/>
        </w:rPr>
        <w:t xml:space="preserve">Data concept DOI:</w:t>
      </w:r>
      <w:r>
        <w:t xml:space="preserve"> </w:t>
      </w:r>
      <w:r>
        <w:t xml:space="preserve">provided on the title page</w:t>
      </w:r>
      <w:r>
        <w:br/>
      </w:r>
      <w:r>
        <w:rPr>
          <w:b/>
          <w:bCs/>
        </w:rPr>
        <w:t xml:space="preserve">User guide:</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59"/>
    <w:bookmarkStart w:id="112" w:name="references"/>
    <w:p>
      <w:pPr>
        <w:pStyle w:val="Heading1"/>
      </w:pPr>
      <w:r>
        <w:t xml:space="preserve">References</w:t>
      </w:r>
    </w:p>
    <w:bookmarkStart w:id="111" w:name="refs"/>
    <w:bookmarkStart w:id="61"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0">
        <w:r>
          <w:rPr>
            <w:rStyle w:val="Hyperlink"/>
          </w:rPr>
          <w:t xml:space="preserve">https://doi.org/10.3390/rs10091438</w:t>
        </w:r>
      </w:hyperlink>
    </w:p>
    <w:bookmarkEnd w:id="61"/>
    <w:bookmarkStart w:id="63"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2">
        <w:r>
          <w:rPr>
            <w:rStyle w:val="Hyperlink"/>
          </w:rPr>
          <w:t xml:space="preserve">https://doi.org/10.3390/s20226442</w:t>
        </w:r>
      </w:hyperlink>
    </w:p>
    <w:bookmarkEnd w:id="63"/>
    <w:bookmarkStart w:id="65" w:name="ref-baumann2017"/>
    <w:p>
      <w:pPr>
        <w:pStyle w:val="Bibliography"/>
      </w:pPr>
      <w:r>
        <w:t xml:space="preserve">Baumann, M., Gasparri, I., Piquer-Rodríguez,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4">
        <w:r>
          <w:rPr>
            <w:rStyle w:val="Hyperlink"/>
          </w:rPr>
          <w:t xml:space="preserve">https://doi.org/10.1111/gcb.13521</w:t>
        </w:r>
      </w:hyperlink>
    </w:p>
    <w:bookmarkEnd w:id="65"/>
    <w:bookmarkStart w:id="67"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66">
        <w:r>
          <w:rPr>
            <w:rStyle w:val="Hyperlink"/>
          </w:rPr>
          <w:t xml:space="preserve">https://doi.org/10.1111/j.2007.0906-7590.05171.x</w:t>
        </w:r>
      </w:hyperlink>
    </w:p>
    <w:bookmarkEnd w:id="67"/>
    <w:bookmarkStart w:id="69"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68">
        <w:r>
          <w:rPr>
            <w:rStyle w:val="Hyperlink"/>
          </w:rPr>
          <w:t xml:space="preserve">https://doi.org/10.1071/WF08187</w:t>
        </w:r>
      </w:hyperlink>
    </w:p>
    <w:bookmarkEnd w:id="69"/>
    <w:bookmarkStart w:id="71"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70">
        <w:r>
          <w:rPr>
            <w:rStyle w:val="Hyperlink"/>
          </w:rPr>
          <w:t xml:space="preserve">https://doi.org/10.1007/s10584-015-1521-0</w:t>
        </w:r>
      </w:hyperlink>
    </w:p>
    <w:bookmarkEnd w:id="71"/>
    <w:bookmarkStart w:id="73"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2">
        <w:r>
          <w:rPr>
            <w:rStyle w:val="Hyperlink"/>
          </w:rPr>
          <w:t xml:space="preserve">https://doi.org/10.1126/science.1244693</w:t>
        </w:r>
      </w:hyperlink>
    </w:p>
    <w:bookmarkEnd w:id="73"/>
    <w:bookmarkStart w:id="75"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4">
        <w:r>
          <w:rPr>
            <w:rStyle w:val="Hyperlink"/>
          </w:rPr>
          <w:t xml:space="preserve">https://doi.org/10.1139/er-2020-0019</w:t>
        </w:r>
      </w:hyperlink>
    </w:p>
    <w:bookmarkEnd w:id="75"/>
    <w:bookmarkStart w:id="77"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6">
        <w:r>
          <w:rPr>
            <w:rStyle w:val="Hyperlink"/>
          </w:rPr>
          <w:t xml:space="preserve">https://doi.org/10.1038/ncomms8537</w:t>
        </w:r>
      </w:hyperlink>
    </w:p>
    <w:bookmarkEnd w:id="77"/>
    <w:bookmarkStart w:id="78"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78"/>
    <w:bookmarkStart w:id="80"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79">
        <w:r>
          <w:rPr>
            <w:rStyle w:val="Hyperlink"/>
          </w:rPr>
          <w:t xml:space="preserve">https://doi.org/10.2307/1939924</w:t>
        </w:r>
      </w:hyperlink>
    </w:p>
    <w:bookmarkEnd w:id="80"/>
    <w:bookmarkStart w:id="82"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81">
        <w:r>
          <w:rPr>
            <w:rStyle w:val="Hyperlink"/>
          </w:rPr>
          <w:t xml:space="preserve">https://doi.org/10.1038/s42256-019-0138-9</w:t>
        </w:r>
      </w:hyperlink>
    </w:p>
    <w:bookmarkEnd w:id="82"/>
    <w:bookmarkStart w:id="84"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83">
        <w:r>
          <w:rPr>
            <w:rStyle w:val="Hyperlink"/>
          </w:rPr>
          <w:t xml:space="preserve">https://chaco.mapbiomas.org/</w:t>
        </w:r>
      </w:hyperlink>
      <w:r>
        <w:t xml:space="preserve">.</w:t>
      </w:r>
    </w:p>
    <w:bookmarkEnd w:id="84"/>
    <w:bookmarkStart w:id="86"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85">
        <w:r>
          <w:rPr>
            <w:rStyle w:val="Hyperlink"/>
          </w:rPr>
          <w:t xml:space="preserve">https://doi.org/10.5194/essd-13-4349-2021</w:t>
        </w:r>
      </w:hyperlink>
    </w:p>
    <w:bookmarkEnd w:id="86"/>
    <w:bookmarkStart w:id="88"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87">
        <w:r>
          <w:rPr>
            <w:rStyle w:val="Hyperlink"/>
          </w:rPr>
          <w:t xml:space="preserve">https://doi.org/10.1145/1102351.1102430</w:t>
        </w:r>
      </w:hyperlink>
    </w:p>
    <w:bookmarkEnd w:id="88"/>
    <w:bookmarkStart w:id="90"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9">
        <w:r>
          <w:rPr>
            <w:rStyle w:val="Hyperlink"/>
          </w:rPr>
          <w:t xml:space="preserve">https://doi.org/10.1016/j.pecon.2021.06.005</w:t>
        </w:r>
      </w:hyperlink>
    </w:p>
    <w:bookmarkEnd w:id="90"/>
    <w:bookmarkStart w:id="91"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91"/>
    <w:bookmarkStart w:id="93" w:name="ref-ploton2020"/>
    <w:p>
      <w:pPr>
        <w:pStyle w:val="Bibliography"/>
      </w:pPr>
      <w:r>
        <w:t xml:space="preserve">Ploton, P., Mortier, F., Réjou-Méchain, M., Barbier, N., Picard, N., Rossi, V., Dormann, C. F., Cornu, G., Viennois, G., Bayol, N., &amp; Pélissier,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92">
        <w:r>
          <w:rPr>
            <w:rStyle w:val="Hyperlink"/>
          </w:rPr>
          <w:t xml:space="preserve">https://doi.org/10.1038/s41467-020-18321-y</w:t>
        </w:r>
      </w:hyperlink>
    </w:p>
    <w:bookmarkEnd w:id="93"/>
    <w:bookmarkStart w:id="95"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94">
        <w:r>
          <w:rPr>
            <w:rStyle w:val="Hyperlink"/>
          </w:rPr>
          <w:t xml:space="preserve">https://doi.org/10.1145/3299869.3320212</w:t>
        </w:r>
      </w:hyperlink>
    </w:p>
    <w:bookmarkEnd w:id="95"/>
    <w:bookmarkStart w:id="97"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96">
        <w:r>
          <w:rPr>
            <w:rStyle w:val="Hyperlink"/>
          </w:rPr>
          <w:t xml:space="preserve">https://doi.org/10.1111/ecog.02881</w:t>
        </w:r>
      </w:hyperlink>
    </w:p>
    <w:bookmarkEnd w:id="97"/>
    <w:bookmarkStart w:id="99"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98">
        <w:r>
          <w:rPr>
            <w:rStyle w:val="Hyperlink"/>
          </w:rPr>
          <w:t xml:space="preserve">https://doi.org/10.5772/28441</w:t>
        </w:r>
      </w:hyperlink>
    </w:p>
    <w:bookmarkEnd w:id="99"/>
    <w:bookmarkStart w:id="101"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00">
        <w:r>
          <w:rPr>
            <w:rStyle w:val="Hyperlink"/>
          </w:rPr>
          <w:t xml:space="preserve">https://doi.org/10.1016/j.rse.2013.12.008</w:t>
        </w:r>
      </w:hyperlink>
    </w:p>
    <w:bookmarkEnd w:id="101"/>
    <w:bookmarkStart w:id="103"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02">
        <w:r>
          <w:rPr>
            <w:rStyle w:val="Hyperlink"/>
          </w:rPr>
          <w:t xml:space="preserve">http://queimadas.dgi.inpe.br</w:t>
        </w:r>
      </w:hyperlink>
    </w:p>
    <w:bookmarkEnd w:id="103"/>
    <w:bookmarkStart w:id="105"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04">
        <w:r>
          <w:rPr>
            <w:rStyle w:val="Hyperlink"/>
          </w:rPr>
          <w:t xml:space="preserve">https://doi.org/10.5558/tfc65258-4</w:t>
        </w:r>
      </w:hyperlink>
    </w:p>
    <w:bookmarkEnd w:id="105"/>
    <w:bookmarkStart w:id="107"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06">
        <w:r>
          <w:rPr>
            <w:rStyle w:val="Hyperlink"/>
          </w:rPr>
          <w:t xml:space="preserve">https://doi.org/10.2307/143141</w:t>
        </w:r>
      </w:hyperlink>
    </w:p>
    <w:bookmarkEnd w:id="107"/>
    <w:bookmarkStart w:id="109"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08">
        <w:r>
          <w:rPr>
            <w:rStyle w:val="Hyperlink"/>
          </w:rPr>
          <w:t xml:space="preserve">https://doi.org/10.1016/j.jaridenv.2014.11.009</w:t>
        </w:r>
      </w:hyperlink>
    </w:p>
    <w:bookmarkEnd w:id="109"/>
    <w:bookmarkStart w:id="110"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10"/>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2" Target="http://queimadas.dgi.inpe.br" TargetMode="External" /><Relationship Type="http://schemas.openxmlformats.org/officeDocument/2006/relationships/hyperlink" Id="rId83" Target="https://chaco.mapbiomas.org/" TargetMode="External" /><Relationship Type="http://schemas.openxmlformats.org/officeDocument/2006/relationships/hyperlink" Id="rId70" Target="https://doi.org/10.1007/s10584-015-1521-0" TargetMode="External" /><Relationship Type="http://schemas.openxmlformats.org/officeDocument/2006/relationships/hyperlink" Id="rId108" Target="https://doi.org/10.1016/j.jaridenv.2014.11.009" TargetMode="External" /><Relationship Type="http://schemas.openxmlformats.org/officeDocument/2006/relationships/hyperlink" Id="rId89" Target="https://doi.org/10.1016/j.pecon.2021.06.005" TargetMode="External" /><Relationship Type="http://schemas.openxmlformats.org/officeDocument/2006/relationships/hyperlink" Id="rId100" Target="https://doi.org/10.1016/j.rse.2013.12.008" TargetMode="External" /><Relationship Type="http://schemas.openxmlformats.org/officeDocument/2006/relationships/hyperlink" Id="rId76" Target="https://doi.org/10.1038/ncomms8537" TargetMode="External" /><Relationship Type="http://schemas.openxmlformats.org/officeDocument/2006/relationships/hyperlink" Id="rId92" Target="https://doi.org/10.1038/s41467-020-18321-y" TargetMode="External" /><Relationship Type="http://schemas.openxmlformats.org/officeDocument/2006/relationships/hyperlink" Id="rId81" Target="https://doi.org/10.1038/s42256-019-0138-9" TargetMode="External" /><Relationship Type="http://schemas.openxmlformats.org/officeDocument/2006/relationships/hyperlink" Id="rId68" Target="https://doi.org/10.1071/WF08187" TargetMode="External" /><Relationship Type="http://schemas.openxmlformats.org/officeDocument/2006/relationships/hyperlink" Id="rId96" Target="https://doi.org/10.1111/ecog.02881" TargetMode="External" /><Relationship Type="http://schemas.openxmlformats.org/officeDocument/2006/relationships/hyperlink" Id="rId64" Target="https://doi.org/10.1111/gcb.13521" TargetMode="External" /><Relationship Type="http://schemas.openxmlformats.org/officeDocument/2006/relationships/hyperlink" Id="rId66" Target="https://doi.org/10.1111/j.2007.0906-7590.05171.x" TargetMode="External" /><Relationship Type="http://schemas.openxmlformats.org/officeDocument/2006/relationships/hyperlink" Id="rId72" Target="https://doi.org/10.1126/science.1244693" TargetMode="External" /><Relationship Type="http://schemas.openxmlformats.org/officeDocument/2006/relationships/hyperlink" Id="rId74" Target="https://doi.org/10.1139/er-2020-0019" TargetMode="External" /><Relationship Type="http://schemas.openxmlformats.org/officeDocument/2006/relationships/hyperlink" Id="rId87" Target="https://doi.org/10.1145/1102351.1102430" TargetMode="External" /><Relationship Type="http://schemas.openxmlformats.org/officeDocument/2006/relationships/hyperlink" Id="rId94" Target="https://doi.org/10.1145/3299869.3320212" TargetMode="External" /><Relationship Type="http://schemas.openxmlformats.org/officeDocument/2006/relationships/hyperlink" Id="rId106" Target="https://doi.org/10.2307/143141" TargetMode="External" /><Relationship Type="http://schemas.openxmlformats.org/officeDocument/2006/relationships/hyperlink" Id="rId79" Target="https://doi.org/10.2307/1939924" TargetMode="External" /><Relationship Type="http://schemas.openxmlformats.org/officeDocument/2006/relationships/hyperlink" Id="rId60" Target="https://doi.org/10.3390/rs10091438" TargetMode="External" /><Relationship Type="http://schemas.openxmlformats.org/officeDocument/2006/relationships/hyperlink" Id="rId62" Target="https://doi.org/10.3390/s20226442" TargetMode="External" /><Relationship Type="http://schemas.openxmlformats.org/officeDocument/2006/relationships/hyperlink" Id="rId85" Target="https://doi.org/10.5194/essd-13-4349-2021" TargetMode="External" /><Relationship Type="http://schemas.openxmlformats.org/officeDocument/2006/relationships/hyperlink" Id="rId104" Target="https://doi.org/10.5558/tfc65258-4" TargetMode="External" /><Relationship Type="http://schemas.openxmlformats.org/officeDocument/2006/relationships/hyperlink" Id="rId98" Target="https://doi.org/10.5772/28441" TargetMode="External" /></Relationships>
</file>

<file path=word/_rels/footnotes.xml.rels><?xml version="1.0" encoding="UTF-8"?><Relationships xmlns="http://schemas.openxmlformats.org/package/2006/relationships"><Relationship Type="http://schemas.openxmlformats.org/officeDocument/2006/relationships/hyperlink" Id="rId102" Target="http://queimadas.dgi.inpe.br" TargetMode="External" /><Relationship Type="http://schemas.openxmlformats.org/officeDocument/2006/relationships/hyperlink" Id="rId83" Target="https://chaco.mapbiomas.org/" TargetMode="External" /><Relationship Type="http://schemas.openxmlformats.org/officeDocument/2006/relationships/hyperlink" Id="rId70" Target="https://doi.org/10.1007/s10584-015-1521-0" TargetMode="External" /><Relationship Type="http://schemas.openxmlformats.org/officeDocument/2006/relationships/hyperlink" Id="rId108" Target="https://doi.org/10.1016/j.jaridenv.2014.11.009" TargetMode="External" /><Relationship Type="http://schemas.openxmlformats.org/officeDocument/2006/relationships/hyperlink" Id="rId89" Target="https://doi.org/10.1016/j.pecon.2021.06.005" TargetMode="External" /><Relationship Type="http://schemas.openxmlformats.org/officeDocument/2006/relationships/hyperlink" Id="rId100" Target="https://doi.org/10.1016/j.rse.2013.12.008" TargetMode="External" /><Relationship Type="http://schemas.openxmlformats.org/officeDocument/2006/relationships/hyperlink" Id="rId76" Target="https://doi.org/10.1038/ncomms8537" TargetMode="External" /><Relationship Type="http://schemas.openxmlformats.org/officeDocument/2006/relationships/hyperlink" Id="rId92" Target="https://doi.org/10.1038/s41467-020-18321-y" TargetMode="External" /><Relationship Type="http://schemas.openxmlformats.org/officeDocument/2006/relationships/hyperlink" Id="rId81" Target="https://doi.org/10.1038/s42256-019-0138-9" TargetMode="External" /><Relationship Type="http://schemas.openxmlformats.org/officeDocument/2006/relationships/hyperlink" Id="rId68" Target="https://doi.org/10.1071/WF08187" TargetMode="External" /><Relationship Type="http://schemas.openxmlformats.org/officeDocument/2006/relationships/hyperlink" Id="rId96" Target="https://doi.org/10.1111/ecog.02881" TargetMode="External" /><Relationship Type="http://schemas.openxmlformats.org/officeDocument/2006/relationships/hyperlink" Id="rId64" Target="https://doi.org/10.1111/gcb.13521" TargetMode="External" /><Relationship Type="http://schemas.openxmlformats.org/officeDocument/2006/relationships/hyperlink" Id="rId66" Target="https://doi.org/10.1111/j.2007.0906-7590.05171.x" TargetMode="External" /><Relationship Type="http://schemas.openxmlformats.org/officeDocument/2006/relationships/hyperlink" Id="rId72" Target="https://doi.org/10.1126/science.1244693" TargetMode="External" /><Relationship Type="http://schemas.openxmlformats.org/officeDocument/2006/relationships/hyperlink" Id="rId74" Target="https://doi.org/10.1139/er-2020-0019" TargetMode="External" /><Relationship Type="http://schemas.openxmlformats.org/officeDocument/2006/relationships/hyperlink" Id="rId87" Target="https://doi.org/10.1145/1102351.1102430" TargetMode="External" /><Relationship Type="http://schemas.openxmlformats.org/officeDocument/2006/relationships/hyperlink" Id="rId94" Target="https://doi.org/10.1145/3299869.3320212" TargetMode="External" /><Relationship Type="http://schemas.openxmlformats.org/officeDocument/2006/relationships/hyperlink" Id="rId106" Target="https://doi.org/10.2307/143141" TargetMode="External" /><Relationship Type="http://schemas.openxmlformats.org/officeDocument/2006/relationships/hyperlink" Id="rId79" Target="https://doi.org/10.2307/1939924" TargetMode="External" /><Relationship Type="http://schemas.openxmlformats.org/officeDocument/2006/relationships/hyperlink" Id="rId60" Target="https://doi.org/10.3390/rs10091438" TargetMode="External" /><Relationship Type="http://schemas.openxmlformats.org/officeDocument/2006/relationships/hyperlink" Id="rId62" Target="https://doi.org/10.3390/s20226442" TargetMode="External" /><Relationship Type="http://schemas.openxmlformats.org/officeDocument/2006/relationships/hyperlink" Id="rId85" Target="https://doi.org/10.5194/essd-13-4349-2021" TargetMode="External" /><Relationship Type="http://schemas.openxmlformats.org/officeDocument/2006/relationships/hyperlink" Id="rId104" Target="https://doi.org/10.5558/tfc65258-4" TargetMode="External" /><Relationship Type="http://schemas.openxmlformats.org/officeDocument/2006/relationships/hyperlink" Id="rId98" Target="https://doi.org/10.5772/284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2026-10-28T21:30:30Z</dcterms:created>
  <dcterms:modified xsi:type="dcterms:W3CDTF">2026-10-28T21:30:30Z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targets, M3/M2 inference, and an open benchmark against Canadian FWI and INPE</vt:lpwstr>
  </property>
  <property fmtid="{D5CDD505-2E9C-101B-9397-08002B2CF9AE}" pid="11" name="toc-title">
    <vt:lpwstr>Table of contents</vt:lpwstr>
  </property>
</Properties>
</file>