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31.png" ContentType="image/png"/>
  <Override PartName="/word/media/rId37.png" ContentType="image/png"/>
  <Override PartName="/word/media/rId43.png" ContentType="image/png"/>
  <Override PartName="/word/media/rId34.png" ContentType="image/png"/>
  <Override PartName="/word/media/rId4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S1–S4, Tablas S1–S32 y Figuras S1–S7 y S8.</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v2.0.1 de GitHub).</w:t>
      </w:r>
      <w:r>
        <w:br/>
      </w:r>
      <w:r>
        <w:rPr>
          <w:b/>
          <w:bCs/>
        </w:rPr>
        <w:t xml:space="preserve">Datos:</w:t>
      </w:r>
      <w:r>
        <w:t xml:space="preserve"> </w:t>
      </w:r>
      <w:r>
        <w:t xml:space="preserve">los datos procesados y las predicciones de test están disponibles en el release v2.0.1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Nota S4:</w:t>
      </w:r>
      <w:r>
        <w:t xml:space="preserve"> </w:t>
      </w:r>
      <w:r>
        <w:t xml:space="preserve">Implementación de los índices FWI e INPE.</w:t>
      </w:r>
    </w:p>
    <w:p>
      <w:pPr>
        <w:pStyle w:val="BodyText"/>
      </w:pPr>
      <w:r>
        <w:t xml:space="preserve">•</w:t>
      </w:r>
      <w:r>
        <w:t xml:space="preserve"> </w:t>
      </w:r>
      <w:r>
        <w:rPr>
          <w:b/>
          <w:bCs/>
        </w:rPr>
        <w:t xml:space="preserve">Tablas S1–S32:</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auditoría de datos, una línea base solo meteorología, una sensibilidad de A del INPE, una sensibilidad al solapamiento train/test, una tabla de beneficio neto, una prueba pareada de valor de decisión, estabilidad a semillas/capacidad, un backtest rolling-origin, una validación adversarial, sensibilidades de gate y etiquetas, una sensibilidad de muestreo y un control negativo.</w:t>
      </w:r>
    </w:p>
    <w:p>
      <w:pPr>
        <w:pStyle w:val="BodyText"/>
      </w:pPr>
      <w:r>
        <w:t xml:space="preserve">•</w:t>
      </w:r>
      <w:r>
        <w:t xml:space="preserve"> </w:t>
      </w:r>
      <w:r>
        <w:rPr>
          <w:b/>
          <w:bCs/>
        </w:rPr>
        <w:t xml:space="preserve">Figuras S1–S7 y S8:</w:t>
      </w:r>
      <w:r>
        <w:t xml:space="preserve"> </w:t>
      </w:r>
      <w:r>
        <w:t xml:space="preserve">SHAP, ablación, cost-loss, beneficio neto, rolling-origin, sensibilidad al umbral, importancia por permutación y precisión por presupuesto de alertas.</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15"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Las seis comparaciones confirmatorias se corrigen con Holm–Bonferroni y Benjamini–Hochberg; todas siguen siendo significativas con α = 0.05. La resolución del bootstrap es 0.001, por lo que los valores ajustados en el piso son cotas superiores.</w:t>
      </w:r>
    </w:p>
    <w:p>
      <w:pPr>
        <w:pStyle w:val="BodyText"/>
      </w:pPr>
      <w:r>
        <w:t xml:space="preserve">El benchmark completo está en la Tabla S11 y su continuación, la significancia pareada en la Tabla S7, los resultados completos de bloques espaciales en la Tabla S8 y los resultados de lead time en la Tabla S9. La estabilidad a semillas/capacidad, el backtest rolling-origin y la validación adversarial están en las Tablas S25, S26 y S29 y la Figura S5; la sensibilidad al umbral está en la Tabla S14 (continuación) y la Figura S6.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bookmarkEnd w:id="15"/>
    <w:bookmarkStart w:id="50" w:name="Xbaef1d116bd3c9fe826a760be43852d21326dc2"/>
    <w:p>
      <w:pPr>
        <w:pStyle w:val="Heading1"/>
      </w:pPr>
      <w:r>
        <w:t xml:space="preserve">Nota complementaria S4. Implementación de los índices FWI e INPE</w:t>
      </w:r>
    </w:p>
    <w:p>
      <w:pPr>
        <w:pStyle w:val="FirstParagraph"/>
      </w:pPr>
      <w:r>
        <w:t xml:space="preserve">Esta nota documenta los dos índices del benchmark exactamente como están implementados. El FWI canadiense completo se produce con</w:t>
      </w:r>
      <w:r>
        <w:t xml:space="preserve"> </w:t>
      </w:r>
      <w:r>
        <w:rPr>
          <w:rStyle w:val="VerbatimChar"/>
        </w:rPr>
        <w:t xml:space="preserve">scripts/02d_calcular_fwi_completo.py</w:t>
      </w:r>
      <w:r>
        <w:t xml:space="preserve"> </w:t>
      </w:r>
      <w:r>
        <w:t xml:space="preserve">a partir de</w:t>
      </w:r>
      <w:r>
        <w:t xml:space="preserve"> </w:t>
      </w:r>
      <w:r>
        <w:rPr>
          <w:rStyle w:val="VerbatimChar"/>
        </w:rPr>
        <w:t xml:space="preserve">src/fwi.py</w:t>
      </w:r>
      <w:r>
        <w:t xml:space="preserve">; el INPE Risco de Fogo con</w:t>
      </w:r>
      <w:r>
        <w:t xml:space="preserve"> </w:t>
      </w:r>
      <w:r>
        <w:rPr>
          <w:rStyle w:val="VerbatimChar"/>
        </w:rPr>
        <w:t xml:space="preserve">scripts/02e_calcular_inpe.py</w:t>
      </w:r>
      <w:r>
        <w:t xml:space="preserve"> </w:t>
      </w:r>
      <w:r>
        <w:t xml:space="preserve">a partir de</w:t>
      </w:r>
      <w:r>
        <w:t xml:space="preserve"> </w:t>
      </w:r>
      <w:r>
        <w:rPr>
          <w:rStyle w:val="VerbatimChar"/>
        </w:rPr>
        <w:t xml:space="preserve">src/inpe.py</w:t>
      </w:r>
      <w:r>
        <w:t xml:space="preserve">; el benchmark une ambos a la grilla de 1 km por</w:t>
      </w:r>
      <w:r>
        <w:t xml:space="preserve"> </w:t>
      </w:r>
      <w:r>
        <w:rPr>
          <w:rStyle w:val="VerbatimChar"/>
        </w:rPr>
        <w:t xml:space="preserve">nodo_clima_id</w:t>
      </w:r>
      <w:r>
        <w:t xml:space="preserve"> </w:t>
      </w:r>
      <w:r>
        <w:t xml:space="preserve">y</w:t>
      </w:r>
      <w:r>
        <w:t xml:space="preserve"> </w:t>
      </w:r>
      <w:r>
        <w:rPr>
          <w:rStyle w:val="VerbatimChar"/>
        </w:rPr>
        <w:t xml:space="preserve">fecha</w:t>
      </w:r>
      <w:r>
        <w:t xml:space="preserve"> </w:t>
      </w:r>
      <w:r>
        <w:t xml:space="preserve">en</w:t>
      </w:r>
      <w:r>
        <w:t xml:space="preserve"> </w:t>
      </w:r>
      <w:r>
        <w:rPr>
          <w:rStyle w:val="VerbatimChar"/>
        </w:rPr>
        <w:t xml:space="preserve">scripts/13_benchmarking_modelos.py</w:t>
      </w:r>
      <w:r>
        <w:t xml:space="preserve">. Ninguno de los dos índices se ajustó a las etiquetas de fuego.</w:t>
      </w:r>
    </w:p>
    <w:bookmarkStart w:id="20" w:name="s4.1-índice-canadiense-fwi"/>
    <w:p>
      <w:pPr>
        <w:pStyle w:val="Heading2"/>
      </w:pPr>
      <w:r>
        <w:t xml:space="preserve">S4.1 Índice canadiense FWI</w:t>
      </w:r>
    </w:p>
    <w:bookmarkStart w:id="16" w:name="códigos-de-combustible"/>
    <w:p>
      <w:pPr>
        <w:pStyle w:val="Heading3"/>
      </w:pPr>
      <w:r>
        <w:t xml:space="preserve">Códigos de combustible</w:t>
      </w:r>
    </w:p>
    <w:p>
      <w:pPr>
        <w:pStyle w:val="FirstParagraph"/>
      </w:pPr>
      <w:r>
        <w:t xml:space="preserve">Se implementa el sistema estándar de seis códigos, sin un tipo de combustible personalizado:</w:t>
      </w:r>
    </w:p>
    <w:p>
      <w:pPr>
        <w:pStyle w:val="Compact"/>
        <w:numPr>
          <w:ilvl w:val="0"/>
          <w:numId w:val="1001"/>
        </w:numPr>
      </w:pPr>
      <w:r>
        <w:rPr>
          <w:b/>
          <w:bCs/>
        </w:rPr>
        <w:t xml:space="preserve">FFMC (Fine Fuel Moisture Code):</w:t>
      </w:r>
      <w:r>
        <w:t xml:space="preserve"> </w:t>
      </w:r>
      <w:r>
        <w:t xml:space="preserve">humedad de la hojarasca superficial y los combustibles finos (aproximadamente los primeros 1–2 cm); escala 0–101.</w:t>
      </w:r>
    </w:p>
    <w:p>
      <w:pPr>
        <w:pStyle w:val="Compact"/>
        <w:numPr>
          <w:ilvl w:val="0"/>
          <w:numId w:val="1001"/>
        </w:numPr>
      </w:pPr>
      <w:r>
        <w:rPr>
          <w:b/>
          <w:bCs/>
        </w:rPr>
        <w:t xml:space="preserve">DMC (Duff Moisture Code):</w:t>
      </w:r>
      <w:r>
        <w:t xml:space="preserve"> </w:t>
      </w:r>
      <w:r>
        <w:t xml:space="preserve">humedad de la capa orgánica poco compactada; secado de mediano plazo.</w:t>
      </w:r>
    </w:p>
    <w:p>
      <w:pPr>
        <w:pStyle w:val="Compact"/>
        <w:numPr>
          <w:ilvl w:val="0"/>
          <w:numId w:val="1001"/>
        </w:numPr>
      </w:pPr>
      <w:r>
        <w:rPr>
          <w:b/>
          <w:bCs/>
        </w:rPr>
        <w:t xml:space="preserve">DC (Drought Code):</w:t>
      </w:r>
      <w:r>
        <w:t xml:space="preserve"> </w:t>
      </w:r>
      <w:r>
        <w:t xml:space="preserve">humedad de la capa orgánica profunda y compactada; reservorio de sequía estacional.</w:t>
      </w:r>
    </w:p>
    <w:p>
      <w:pPr>
        <w:pStyle w:val="Compact"/>
        <w:numPr>
          <w:ilvl w:val="0"/>
          <w:numId w:val="1001"/>
        </w:numPr>
      </w:pPr>
      <w:r>
        <w:rPr>
          <w:b/>
          <w:bCs/>
        </w:rPr>
        <w:t xml:space="preserve">BUI (Buildup Index):</w:t>
      </w:r>
      <w:r>
        <w:t xml:space="preserve"> </w:t>
      </w:r>
      <w:r>
        <w:t xml:space="preserve">combustible disponible para la combustión, derivado de DMC y DC.</w:t>
      </w:r>
    </w:p>
    <w:p>
      <w:pPr>
        <w:pStyle w:val="Compact"/>
        <w:numPr>
          <w:ilvl w:val="0"/>
          <w:numId w:val="1001"/>
        </w:numPr>
      </w:pPr>
      <w:r>
        <w:rPr>
          <w:b/>
          <w:bCs/>
        </w:rPr>
        <w:t xml:space="preserve">ISI (Initial Spread Index):</w:t>
      </w:r>
      <w:r>
        <w:t xml:space="preserve"> </w:t>
      </w:r>
      <w:r>
        <w:t xml:space="preserve">potencial de propagación inicial, derivado de FFMC y viento.</w:t>
      </w:r>
    </w:p>
    <w:p>
      <w:pPr>
        <w:pStyle w:val="Compact"/>
        <w:numPr>
          <w:ilvl w:val="0"/>
          <w:numId w:val="1001"/>
        </w:numPr>
      </w:pPr>
      <w:r>
        <w:rPr>
          <w:b/>
          <w:bCs/>
        </w:rPr>
        <w:t xml:space="preserve">FWI (Fire Weather Index):</w:t>
      </w:r>
      <w:r>
        <w:t xml:space="preserve"> </w:t>
      </w:r>
      <w:r>
        <w:t xml:space="preserve">intensidad frontal del fuego, derivada de ISI y BUI.</w:t>
      </w:r>
    </w:p>
    <w:bookmarkEnd w:id="16"/>
    <w:bookmarkStart w:id="17" w:name="ecuaciones"/>
    <w:p>
      <w:pPr>
        <w:pStyle w:val="Heading3"/>
      </w:pPr>
      <w:r>
        <w:t xml:space="preserve">Ecuaciones</w:t>
      </w:r>
    </w:p>
    <w:p>
      <w:pPr>
        <w:pStyle w:val="FirstParagraph"/>
      </w:pPr>
      <w:r>
        <w:t xml:space="preserve">Sean</w:t>
      </w:r>
      <w:r>
        <w:t xml:space="preserve"> </w:t>
      </w:r>
      <m:oMath>
        <m:sSub>
          <m:e>
            <m:r>
              <m:t>F</m:t>
            </m:r>
          </m:e>
          <m:sub>
            <m:r>
              <m:t>t</m:t>
            </m:r>
          </m:sub>
        </m:sSub>
      </m:oMath>
      <w:r>
        <w:t xml:space="preserve">,</w:t>
      </w:r>
      <w:r>
        <w:t xml:space="preserve"> </w:t>
      </w:r>
      <m:oMath>
        <m:sSub>
          <m:e>
            <m:r>
              <m:t>D</m:t>
            </m:r>
          </m:e>
          <m:sub>
            <m:r>
              <m:t>t</m:t>
            </m:r>
          </m:sub>
        </m:sSub>
      </m:oMath>
      <w:r>
        <w:t xml:space="preserve"> </w:t>
      </w:r>
      <w:r>
        <w:t xml:space="preserve">y</w:t>
      </w:r>
      <w:r>
        <w:t xml:space="preserve"> </w:t>
      </w:r>
      <m:oMath>
        <m:sSub>
          <m:e>
            <m:r>
              <m:t>Q</m:t>
            </m:r>
          </m:e>
          <m:sub>
            <m:r>
              <m:t>t</m:t>
            </m:r>
          </m:sub>
        </m:sSub>
      </m:oMath>
      <w:r>
        <w:t xml:space="preserve"> </w:t>
      </w:r>
      <w:r>
        <w:t xml:space="preserve">el FFMC, DMC y DC del día</w:t>
      </w:r>
      <w:r>
        <w:t xml:space="preserve"> </w:t>
      </w:r>
      <m:oMath>
        <m:r>
          <m:t>t</m:t>
        </m:r>
      </m:oMath>
      <w:r>
        <w:t xml:space="preserve">;</w:t>
      </w:r>
      <w:r>
        <w:t xml:space="preserve"> </w:t>
      </w:r>
      <m:oMath>
        <m:r>
          <m:t>T</m:t>
        </m:r>
      </m:oMath>
      <w:r>
        <w:t xml:space="preserve"> </w:t>
      </w:r>
      <w:r>
        <w:t xml:space="preserve">la temperatura a las 15:00 UTC (°C),</w:t>
      </w:r>
      <w:r>
        <w:t xml:space="preserve"> </w:t>
      </w:r>
      <m:oMath>
        <m:r>
          <m:t>H</m:t>
        </m:r>
      </m:oMath>
      <w:r>
        <w:t xml:space="preserve"> </w:t>
      </w:r>
      <w:r>
        <w:t xml:space="preserve">la humedad relativa correspondiente (%),</w:t>
      </w:r>
      <w:r>
        <w:t xml:space="preserve"> </w:t>
      </w:r>
      <m:oMath>
        <m:r>
          <m:t>W</m:t>
        </m:r>
      </m:oMath>
      <w:r>
        <w:t xml:space="preserve"> </w:t>
      </w:r>
      <w:r>
        <w:t xml:space="preserve">la velocidad del viento a 10 m (km h</w:t>
      </w:r>
      <m:oMath>
        <m:sSup>
          <m:e>
            <m:r>
              <m:t>​</m:t>
            </m:r>
          </m:e>
          <m:sup>
            <m:r>
              <m:rPr>
                <m:sty m:val="p"/>
              </m:rPr>
              <m:t>−</m:t>
            </m:r>
            <m:r>
              <m:t>1</m:t>
            </m:r>
          </m:sup>
        </m:sSup>
      </m:oMath>
      <w:r>
        <w:t xml:space="preserve">) y</w:t>
      </w:r>
      <w:r>
        <w:t xml:space="preserve"> </w:t>
      </w:r>
      <m:oMath>
        <m:r>
          <m:t>r</m:t>
        </m:r>
      </m:oMath>
      <w:r>
        <w:t xml:space="preserve"> </w:t>
      </w:r>
      <w:r>
        <w:t xml:space="preserve">la lluvia de 00–24 h (mm). La recursión se aplica por nodo en orden cronológico.</w:t>
      </w:r>
    </w:p>
    <w:p>
      <w:pPr>
        <w:pStyle w:val="BodyText"/>
      </w:pPr>
      <w:r>
        <w:t xml:space="preserve">El contenido de humedad de combustibles finos es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Para</w:t>
      </w:r>
      <w:r>
        <w:t xml:space="preserve"> </w:t>
      </w:r>
      <m:oMath>
        <m:r>
          <m:t>r</m:t>
        </m:r>
        <m:r>
          <m:rPr>
            <m:sty m:val="p"/>
          </m:rPr>
          <m:t>&gt;</m:t>
        </m:r>
        <m:r>
          <m:t>0.5</m:t>
        </m:r>
      </m:oMath>
      <w:r>
        <w:t xml:space="preserve"> </w:t>
      </w:r>
      <w:r>
        <w:t xml:space="preserve">mm, con</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donde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es el término de corrección pequeño codificado en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se limita a 250. Los contenidos de humedad de equilibrio son</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Las tasas de secado y humedecimiento son</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El contenido de humedad tras un día es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en otro caso,</m:t>
                    </m:r>
                  </m:e>
                </m:mr>
              </m:m>
            </m:e>
          </m:d>
        </m:oMath>
      </m:oMathPara>
    </w:p>
    <w:p>
      <w:pPr>
        <w:pStyle w:val="FirstParagraph"/>
      </w:pPr>
      <w:r>
        <w:t xml:space="preserve">y</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Para DMC, cuando</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1.5</m:t>
          </m:r>
          <m:r>
            <m:rPr>
              <m:sty m:val="p"/>
            </m:rPr>
            <m:t>,</m:t>
          </m:r>
          <m:r>
            <m:t>  </m:t>
          </m:r>
          <m:sSub>
            <m:e>
              <m:r>
                <m:t>m</m:t>
              </m:r>
            </m:e>
            <m:sub>
              <m:r>
                <m:t>0</m:t>
              </m:r>
            </m:sub>
          </m:sSub>
          <m:r>
            <m:rPr>
              <m:sty m:val="p"/>
            </m:rPr>
            <m:t>=</m:t>
          </m:r>
          <m:r>
            <m:t>20</m:t>
          </m:r>
          <m:r>
            <m:rPr>
              <m:sty m:val="p"/>
            </m:rPr>
            <m:t>+</m:t>
          </m:r>
          <m:sSup>
            <m:e>
              <m:r>
                <m:t>e</m:t>
              </m:r>
            </m:e>
            <m:sup>
              <m:r>
                <m:t>5.6348</m:t>
              </m:r>
              <m:r>
                <m:rPr>
                  <m:sty m:val="p"/>
                </m:rPr>
                <m:t>−</m:t>
              </m:r>
              <m:sSub>
                <m:e>
                  <m:r>
                    <m:t>D</m:t>
                  </m:r>
                </m:e>
                <m:sub>
                  <m:r>
                    <m:t>t</m:t>
                  </m:r>
                  <m:r>
                    <m:rPr>
                      <m:sty m:val="p"/>
                    </m:rPr>
                    <m:t>−</m:t>
                  </m:r>
                  <m:r>
                    <m:t>1</m:t>
                  </m:r>
                </m:sub>
              </m:sSub>
              <m:r>
                <m:rPr>
                  <m:sty m:val="p"/>
                </m:rPr>
                <m:t>/</m:t>
              </m:r>
              <m:r>
                <m:t>43.43</m:t>
              </m:r>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244.72</m:t>
          </m:r>
          <m:r>
            <m:rPr>
              <m:sty m:val="p"/>
            </m:rPr>
            <m:t>−</m:t>
          </m:r>
          <m:r>
            <m:t>43.43</m:t>
          </m:r>
          <m:r>
            <m:rPr>
              <m:sty m:val="p"/>
            </m:rPr>
            <m:t>ln</m:t>
          </m:r>
          <m:r>
            <m:rPr>
              <m:sty m:val="p"/>
            </m:rPr>
            <m:t>(</m:t>
          </m:r>
          <m:sSub>
            <m:e>
              <m:r>
                <m:t>m</m:t>
              </m:r>
            </m:e>
            <m:sub>
              <m:r>
                <m:t>r</m:t>
              </m:r>
            </m:sub>
          </m:sSub>
          <m:r>
            <m:rPr>
              <m:sty m:val="p"/>
            </m:rPr>
            <m:t>−</m:t>
          </m:r>
          <m:r>
            <m:t>20</m:t>
          </m:r>
          <m:r>
            <m:rPr>
              <m:sty m:val="p"/>
            </m:rPr>
            <m:t>)</m:t>
          </m:r>
          <m:r>
            <m:rPr>
              <m:sty m:val="p"/>
            </m:rPr>
            <m:t>,</m:t>
          </m:r>
        </m:oMath>
      </m:oMathPara>
    </w:p>
    <w:p>
      <w:pPr>
        <w:pStyle w:val="FirstParagraph"/>
      </w:pPr>
      <w:r>
        <w:t xml:space="preserve">con</w:t>
      </w:r>
      <w:r>
        <w:t xml:space="preserve"> </w:t>
      </w:r>
      <m:oMath>
        <m:sSup>
          <m:e>
            <m:r>
              <m:t>D</m:t>
            </m:r>
          </m:e>
          <m:sup>
            <m:r>
              <m:rPr>
                <m:sty m:val="p"/>
              </m:rPr>
              <m:t>′</m:t>
            </m:r>
          </m:sup>
        </m:sSup>
      </m:oMath>
      <w:r>
        <w:t xml:space="preserve"> </w:t>
      </w:r>
      <w:r>
        <w:t xml:space="preserve">limitado inferiormente a cero; cuando</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La actualización diaria usa</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sSub>
            <m:e>
              <m:r>
                <m:t>L</m:t>
              </m:r>
            </m:e>
            <m:sub>
              <m:r>
                <m:t>e</m:t>
              </m:r>
            </m:sub>
          </m:sSub>
          <m:r>
            <m:rPr>
              <m:sty m:val="p"/>
            </m:rPr>
            <m:t>=</m:t>
          </m:r>
          <m:sSup>
            <m:e>
              <m:r>
                <m:t>e</m:t>
              </m:r>
            </m:e>
            <m:sup>
              <m:r>
                <m:t>2</m:t>
              </m:r>
              <m:r>
                <m:rPr>
                  <m:sty m:val="p"/>
                </m:rPr>
                <m:t>−</m:t>
              </m:r>
              <m:r>
                <m:t>0.2</m:t>
              </m:r>
              <m:sSub>
                <m:e>
                  <m:r>
                    <m:t>H</m:t>
                  </m:r>
                </m:e>
                <m:sub>
                  <m:r>
                    <m:t>c</m:t>
                  </m:r>
                </m:sub>
              </m:sSub>
              <m:r>
                <m:rPr>
                  <m:sty m:val="p"/>
                </m:rPr>
                <m:t>/</m:t>
              </m:r>
              <m:r>
                <m:t>100</m:t>
              </m:r>
            </m:sup>
          </m:sSup>
          <m:r>
            <m:rPr>
              <m:sty m:val="p"/>
            </m:rPr>
            <m:t>,</m:t>
          </m:r>
          <m:r>
            <m:t>  </m:t>
          </m:r>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6</m:t>
              </m:r>
            </m:sup>
          </m:sSup>
          <m:r>
            <m:rPr>
              <m:sty m:val="p"/>
            </m:rPr>
            <m:t>,</m:t>
          </m:r>
          <m:r>
            <m:t>  </m:t>
          </m:r>
          <m:sSub>
            <m:e>
              <m:r>
                <m:t>D</m:t>
              </m:r>
            </m:e>
            <m:sub>
              <m:r>
                <m:t>t</m:t>
              </m:r>
            </m:sub>
          </m:sSub>
          <m:r>
            <m:rPr>
              <m:sty m:val="p"/>
            </m:rPr>
            <m:t>=</m:t>
          </m:r>
          <m:sSup>
            <m:e>
              <m:r>
                <m:t>D</m:t>
              </m:r>
            </m:e>
            <m:sup>
              <m:r>
                <m:rPr>
                  <m:sty m:val="p"/>
                </m:rPr>
                <m:t>′</m:t>
              </m:r>
            </m:sup>
          </m:sSup>
          <m:sSup>
            <m:e>
              <m:r>
                <m:t>10</m:t>
              </m:r>
            </m:e>
            <m:sup>
              <m:r>
                <m:t>K</m:t>
              </m:r>
            </m:sup>
          </m:sSup>
          <m:r>
            <m:rPr>
              <m:sty m:val="p"/>
            </m:rPr>
            <m:t>.</m:t>
          </m:r>
        </m:oMath>
      </m:oMathPara>
    </w:p>
    <w:p>
      <w:pPr>
        <w:pStyle w:val="FirstParagraph"/>
      </w:pPr>
      <w:r>
        <w:t xml:space="preserve">Para DC, cuando</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con</w:t>
      </w:r>
      <w:r>
        <w:t xml:space="preserve"> </w:t>
      </w:r>
      <m:oMath>
        <m:sSub>
          <m:e>
            <m:r>
              <m:t>Q</m:t>
            </m:r>
          </m:e>
          <m:sub>
            <m:r>
              <m:t>0</m:t>
            </m:r>
          </m:sub>
        </m:sSub>
      </m:oMath>
      <w:r>
        <w:t xml:space="preserve"> </w:t>
      </w:r>
      <w:r>
        <w:t xml:space="preserve">limitado a 800 y</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en otro caso</w:t>
      </w:r>
      <w:r>
        <w:t xml:space="preserve"> </w:t>
      </w:r>
      <m:oMath>
        <m:sSup>
          <m:e>
            <m:r>
              <m:t>Q</m:t>
            </m:r>
          </m:e>
          <m:sup>
            <m:r>
              <m:rPr>
                <m:sty m:val="p"/>
              </m:rPr>
              <m:t>′</m:t>
            </m:r>
          </m:sup>
        </m:sSup>
        <m:r>
          <m:rPr>
            <m:sty m:val="p"/>
          </m:rPr>
          <m:t>=</m:t>
        </m:r>
        <m:sSub>
          <m:e>
            <m:r>
              <m:t>Q</m:t>
            </m:r>
          </m:e>
          <m:sub>
            <m:r>
              <m:t>t</m:t>
            </m:r>
            <m:r>
              <m:rPr>
                <m:sty m:val="p"/>
              </m:rPr>
              <m:t>−</m:t>
            </m:r>
            <m:r>
              <m:t>1</m:t>
            </m:r>
          </m:sub>
        </m:sSub>
      </m:oMath>
      <w:r>
        <w:t xml:space="preserve">. Luego</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El BUI es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en otro caso.</m:t>
                    </m:r>
                  </m:e>
                </m:mr>
              </m:m>
            </m:e>
          </m:d>
        </m:oMath>
      </m:oMathPara>
    </w:p>
    <w:p>
      <w:pPr>
        <w:pStyle w:val="FirstParagraph"/>
      </w:pPr>
      <w:r>
        <w:t xml:space="preserve">El ISI es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Finalmente,</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7"/>
    <w:bookmarkStart w:id="18" w:name="X3b0627d1458ddcebd5f0aef45b21ac9f13f451a"/>
    <w:p>
      <w:pPr>
        <w:pStyle w:val="Heading3"/>
      </w:pPr>
      <w:r>
        <w:t xml:space="preserve">Meteorología, momento del día y resolución</w:t>
      </w:r>
    </w:p>
    <w:p>
      <w:pPr>
        <w:pStyle w:val="FirstParagraph"/>
      </w:pPr>
      <w:r>
        <w:t xml:space="preserve">Los campos de las 15:00 UTC (aproximadamente el mediodía local) se extraen del archivo ERA5-Land cada 3 h</w:t>
      </w:r>
      <w:r>
        <w:t xml:space="preserve"> </w:t>
      </w:r>
      <w:r>
        <w:t xml:space="preserve">(Muñoz-Sabater et al., 2021)</w:t>
      </w:r>
      <w:r>
        <w:t xml:space="preserve">: temperatura a 2 m, punto de rocío a 2 m y componentes del viento a 10 m</w:t>
      </w:r>
      <w:r>
        <w:t xml:space="preserve"> </w:t>
      </w:r>
      <m:oMath>
        <m:sSub>
          <m:e>
            <m:r>
              <m:t>u</m:t>
            </m:r>
          </m:e>
          <m:sub>
            <m:r>
              <m:t>10</m:t>
            </m:r>
          </m:sub>
        </m:sSub>
      </m:oMath>
      <w:r>
        <w:t xml:space="preserve"> </w:t>
      </w:r>
      <w:r>
        <w:t xml:space="preserve">y</w:t>
      </w:r>
      <w:r>
        <w:t xml:space="preserve"> </w:t>
      </w:r>
      <m:oMath>
        <m:sSub>
          <m:e>
            <m:r>
              <m:t>v</m:t>
            </m:r>
          </m:e>
          <m:sub>
            <m:r>
              <m:t>10</m:t>
            </m:r>
          </m:sub>
        </m:sSub>
      </m:oMath>
      <w:r>
        <w:t xml:space="preserve">. La humedad relativa se deriva de la temperatura y el punto de rocío con la presión de vapor de saturación de Tetens</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y</w:t>
      </w:r>
      <w:r>
        <w:t xml:space="preserve"> </w:t>
      </w:r>
      <m:oMath>
        <m:r>
          <m:t>H</m:t>
        </m:r>
        <m:r>
          <m:rPr>
            <m:sty m:val="p"/>
          </m:rPr>
          <m:t>=</m:t>
        </m:r>
        <m:r>
          <m:t>100</m:t>
        </m:r>
        <m:sSub>
          <m:e>
            <m:r>
              <m:t>e</m:t>
            </m:r>
          </m:e>
          <m:sub>
            <m:r>
              <m:t>a</m:t>
            </m:r>
          </m:sub>
        </m:sSub>
        <m:r>
          <m:rPr>
            <m:sty m:val="p"/>
          </m:rPr>
          <m:t>/</m:t>
        </m:r>
        <m:sSub>
          <m:e>
            <m:r>
              <m:t>e</m:t>
            </m:r>
          </m:e>
          <m:sub>
            <m:r>
              <m:t>s</m:t>
            </m:r>
          </m:sub>
        </m:sSub>
      </m:oMath>
      <w:r>
        <w:t xml:space="preserve">, limitada a 1–100 %. La velocidad del viento es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w:t>
      </w:r>
      <m:oMath>
        <m:sSup>
          <m:e>
            <m:r>
              <m:t>​</m:t>
            </m:r>
          </m:e>
          <m:sup>
            <m:r>
              <m:rPr>
                <m:sty m:val="p"/>
              </m:rPr>
              <m:t>−</m:t>
            </m:r>
            <m:r>
              <m:t>1</m:t>
            </m:r>
          </m:sup>
        </m:sSup>
      </m:oMath>
      <w:r>
        <w:t xml:space="preserve">. La lluvia es el total de 00–24 h de la tabla climática diaria.</w:t>
      </w:r>
    </w:p>
    <w:p>
      <w:pPr>
        <w:pStyle w:val="BodyText"/>
      </w:pPr>
      <w:r>
        <w:t xml:space="preserve">El FWI usa meteorología del</w:t>
      </w:r>
      <w:r>
        <w:t xml:space="preserve"> </w:t>
      </w:r>
      <w:r>
        <w:rPr>
          <w:b/>
          <w:bCs/>
        </w:rPr>
        <w:t xml:space="preserve">mismo día</w:t>
      </w:r>
      <w:r>
        <w:t xml:space="preserve">, no</w:t>
      </w:r>
      <w:r>
        <w:t xml:space="preserve"> </w:t>
      </w:r>
      <m:oMath>
        <m:r>
          <m:t>t</m:t>
        </m:r>
        <m:r>
          <m:rPr>
            <m:sty m:val="p"/>
          </m:rPr>
          <m:t>−</m:t>
        </m:r>
        <m:r>
          <m:t>1</m:t>
        </m:r>
      </m:oMath>
      <w:r>
        <w:t xml:space="preserve">: los códigos del día</w:t>
      </w:r>
      <w:r>
        <w:t xml:space="preserve"> </w:t>
      </w:r>
      <m:oMath>
        <m:r>
          <m:t>t</m:t>
        </m:r>
      </m:oMath>
      <w:r>
        <w:t xml:space="preserve"> </w:t>
      </w:r>
      <w:r>
        <w:t xml:space="preserve">se impulsan con los campos de las 15:00 UTC y la lluvia del día</w:t>
      </w:r>
      <w:r>
        <w:t xml:space="preserve"> </w:t>
      </w:r>
      <m:oMath>
        <m:r>
          <m:t>t</m:t>
        </m:r>
      </m:oMath>
      <w:r>
        <w:t xml:space="preserve">. Es una configuración de nowcast. El experimento con retardo</w:t>
      </w:r>
      <w:r>
        <w:t xml:space="preserve"> </w:t>
      </w:r>
      <m:oMath>
        <m:r>
          <m:t>t</m:t>
        </m:r>
        <m:r>
          <m:rPr>
            <m:sty m:val="p"/>
          </m:rPr>
          <m:t>−</m:t>
        </m:r>
        <m:r>
          <m:t>1</m:t>
        </m:r>
      </m:oMath>
      <w:r>
        <w:t xml:space="preserve"> </w:t>
      </w:r>
      <w:r>
        <w:t xml:space="preserve">usado para cuantificar la brecha de lead time es un análisis separado (Nota S3) y no entra en el benchmark.</w:t>
      </w:r>
    </w:p>
    <w:p>
      <w:pPr>
        <w:pStyle w:val="BodyText"/>
      </w:pPr>
      <w:r>
        <w:t xml:space="preserve">El análisis climático usa una grilla de nodos de 0.25° (640 nodos). Cada nodo se empareja con el píxel ERA5-Land más cercano, y cada celda de 1 km² hereda un nodo mediante</w:t>
      </w:r>
      <w:r>
        <w:t xml:space="preserve"> </w:t>
      </w:r>
      <w:r>
        <w:rPr>
          <w:rStyle w:val="VerbatimChar"/>
        </w:rPr>
        <w:t xml:space="preserve">nodo_clima_id</w:t>
      </w:r>
      <w:r>
        <w:t xml:space="preserve">; el mapeo se precomputa con un cKDTree. La serie completa de FWI se guarda en</w:t>
      </w:r>
      <w:r>
        <w:t xml:space="preserve"> </w:t>
      </w:r>
      <w:r>
        <w:rPr>
          <w:rStyle w:val="VerbatimChar"/>
        </w:rPr>
        <w:t xml:space="preserve">fwi_completo_diario.parquet</w:t>
      </w:r>
      <w:r>
        <w:t xml:space="preserve">. Las columnas</w:t>
      </w:r>
      <w:r>
        <w:t xml:space="preserve"> </w:t>
      </w:r>
      <w:r>
        <w:rPr>
          <w:rStyle w:val="VerbatimChar"/>
        </w:rPr>
        <w:t xml:space="preserve">ffmc</w:t>
      </w:r>
      <w:r>
        <w:t xml:space="preserve"> </w:t>
      </w:r>
      <w:r>
        <w:t xml:space="preserve">e</w:t>
      </w:r>
      <w:r>
        <w:t xml:space="preserve"> </w:t>
      </w:r>
      <w:r>
        <w:rPr>
          <w:rStyle w:val="VerbatimChar"/>
        </w:rPr>
        <w:t xml:space="preserve">isi</w:t>
      </w:r>
      <w:r>
        <w:t xml:space="preserve"> </w:t>
      </w:r>
      <w:r>
        <w:t xml:space="preserve">usadas como variables por M1/M2/M3 son una aproximación diaria separada, calculada por</w:t>
      </w:r>
      <w:r>
        <w:t xml:space="preserve"> </w:t>
      </w:r>
      <w:r>
        <w:rPr>
          <w:rStyle w:val="VerbatimChar"/>
        </w:rPr>
        <w:t xml:space="preserve">src/clima.py</w:t>
      </w:r>
      <w:r>
        <w:t xml:space="preserve"> </w:t>
      </w:r>
      <w:r>
        <w:t xml:space="preserve">a partir de la temperatura máxima diaria, la humedad relativa derivada del VPD, el viento máximo diario y la lluvia diaria; no son la misma serie que el FWI del benchmark.</w:t>
      </w:r>
    </w:p>
    <w:bookmarkEnd w:id="18"/>
    <w:bookmarkStart w:id="19" w:name="inicialización-y-warm-up"/>
    <w:p>
      <w:pPr>
        <w:pStyle w:val="Heading3"/>
      </w:pPr>
      <w:r>
        <w:t xml:space="preserve">Inicialización y warm-up</w:t>
      </w:r>
    </w:p>
    <w:p>
      <w:pPr>
        <w:pStyle w:val="FirstParagraph"/>
      </w:pPr>
      <w:r>
        <w:t xml:space="preserve">En el primer día de cada serie de nodo (1 de enero de 2018) los códigos se inicializan como</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y</w:t>
      </w:r>
      <w:r>
        <w:t xml:space="preserve"> </w:t>
      </w:r>
      <m:oMath>
        <m:r>
          <m:t>Q</m:t>
        </m:r>
        <m:r>
          <m:rPr>
            <m:sty m:val="p"/>
          </m:rPr>
          <m:t>=</m:t>
        </m:r>
        <m:r>
          <m:t>15</m:t>
        </m:r>
      </m:oMath>
      <w:r>
        <w:t xml:space="preserve">. La recursión se ejecuta después de forma continua hasta 2025. No hay un spin-up previo a 2018 y no se descarta una ventana de warm-up separada: el año calendario 2018 se usa solo en el split de entrenamiento, por lo que cualquier transitorio de inicialización queda confinado al entrenamiento. En la validación de 2023 y el test 2024–2025 los códigos se han iterado durante al menos cinco años, y la memoria de los valores iniciales es despreciable.</w:t>
      </w:r>
    </w:p>
    <w:bookmarkEnd w:id="19"/>
    <w:bookmarkEnd w:id="20"/>
    <w:bookmarkStart w:id="24" w:name="s4.2-inpe-risco-de-fogo-2019"/>
    <w:p>
      <w:pPr>
        <w:pStyle w:val="Heading2"/>
      </w:pPr>
      <w:r>
        <w:t xml:space="preserve">S4.2 INPE Risco de Fogo (2019)</w:t>
      </w:r>
    </w:p>
    <w:p>
      <w:pPr>
        <w:pStyle w:val="FirstParagraph"/>
      </w:pPr>
      <w:r>
        <w:t xml:space="preserve">La implementación sigue la formulación INPE 2019 versión 11</w:t>
      </w:r>
      <w:r>
        <w:t xml:space="preserve"> </w:t>
      </w:r>
      <w:r>
        <w:t xml:space="preserve">(Setzer et al., 2019)</w:t>
      </w:r>
      <w:r>
        <w:t xml:space="preserve">. El producto público aplica una corrección por focos de los tres días previos; esa corrección se omite deliberadamente aquí porque filtraría la etiqueta de ignición. El benchmark usa, por tanto, la formulación solo meteorológica.</w:t>
      </w:r>
    </w:p>
    <w:bookmarkStart w:id="21" w:name="índice-de-sequedad-pse"/>
    <w:p>
      <w:pPr>
        <w:pStyle w:val="Heading3"/>
      </w:pPr>
      <w:r>
        <w:t xml:space="preserve">Índice de sequedad (PSE)</w:t>
      </w:r>
    </w:p>
    <w:p>
      <w:pPr>
        <w:pStyle w:val="FirstParagraph"/>
      </w:pPr>
      <w:r>
        <w:t xml:space="preserve">Sea</w:t>
      </w:r>
      <w:r>
        <w:t xml:space="preserve"> </w:t>
      </w:r>
      <m:oMath>
        <m:sSub>
          <m:e>
            <m:r>
              <m:t>r</m:t>
            </m:r>
          </m:e>
          <m:sub>
            <m:r>
              <m:t>j</m:t>
            </m:r>
          </m:sub>
        </m:sSub>
      </m:oMath>
      <w:r>
        <w:t xml:space="preserve"> </w:t>
      </w:r>
      <w:r>
        <w:t xml:space="preserve">la lluvia diaria y sea</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la lluvia acumulada en los</w:t>
      </w:r>
      <w:r>
        <w:t xml:space="preserve"> </w:t>
      </w:r>
      <m:oMath>
        <m:r>
          <m:t>k</m:t>
        </m:r>
      </m:oMath>
      <w:r>
        <w:t xml:space="preserve"> </w:t>
      </w:r>
      <w:r>
        <w:t xml:space="preserve">días que terminan en</w:t>
      </w:r>
      <w:r>
        <w:t xml:space="preserve"> </w:t>
      </w:r>
      <m:oMath>
        <m:r>
          <m:t>t</m:t>
        </m:r>
      </m:oMath>
      <w:r>
        <w:t xml:space="preserve">, con los días anteriores al 1 de enero de 2018 tratados como cero. El PSE (período de secura; 0–105) es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con</w:t>
      </w:r>
      <w:r>
        <w:t xml:space="preserve"> </w:t>
      </w:r>
      <m:oMath>
        <m:sSub>
          <m:e>
            <m:r>
              <m:t>R</m:t>
            </m:r>
          </m:e>
          <m:sub>
            <m:r>
              <m:t>0</m:t>
            </m:r>
          </m:sub>
        </m:sSub>
        <m:r>
          <m:rPr>
            <m:sty m:val="p"/>
          </m:rPr>
          <m:t>=</m:t>
        </m:r>
        <m:r>
          <m:t>0</m:t>
        </m:r>
      </m:oMath>
      <w:r>
        <w:t xml:space="preserve">, ventanas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y coeficientes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La ventana de 120 días se trunca por la izquierda al inicio de la serie de 2018 y queda completa después de 120 días. El PSE se impulsa con la lluvia del mismo día, no con</w:t>
      </w:r>
      <w:r>
        <w:t xml:space="preserve"> </w:t>
      </w:r>
      <m:oMath>
        <m:r>
          <m:t>t</m:t>
        </m:r>
        <m:r>
          <m:rPr>
            <m:sty m:val="p"/>
          </m:rPr>
          <m:t>−</m:t>
        </m:r>
        <m:r>
          <m:t>1</m:t>
        </m:r>
      </m:oMath>
      <w:r>
        <w:t xml:space="preserve">.</w:t>
      </w:r>
    </w:p>
    <w:bookmarkEnd w:id="21"/>
    <w:bookmarkStart w:id="22" w:name="Xba40df1457f1d50da6a1adca40224d6fcf65f55"/>
    <w:p>
      <w:pPr>
        <w:pStyle w:val="Heading3"/>
      </w:pPr>
      <w:r>
        <w:t xml:space="preserve">Constante de flamabilidad y riesgo básico</w:t>
      </w:r>
    </w:p>
    <w:p>
      <w:pPr>
        <w:pStyle w:val="FirstParagraph"/>
      </w:pPr>
      <w:r>
        <w:t xml:space="preserve">La especificación primaria usa una constante local ponderada por cobertura</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donde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y</w:t>
      </w:r>
      <w:r>
        <w:t xml:space="preserve"> </w:t>
      </w:r>
      <m:oMath>
        <m:sSub>
          <m:e>
            <m:r>
              <m:t>f</m:t>
            </m:r>
          </m:e>
          <m:sub>
            <m:r>
              <m:t>p</m:t>
            </m:r>
            <m:r>
              <m:t>a</m:t>
            </m:r>
          </m:sub>
        </m:sSub>
      </m:oMath>
      <w:r>
        <w:t xml:space="preserve"> </w:t>
      </w:r>
      <w:r>
        <w:t xml:space="preserve">son los porcentajes MapBiomas de pastura, sabana, bosque seco, bosque húmedo y palmar</w:t>
      </w:r>
      <w:r>
        <w:t xml:space="preserve"> </w:t>
      </w:r>
      <w:r>
        <w:t xml:space="preserve">(MapBiomas Chaco, 2023)</w:t>
      </w:r>
      <w:r>
        <w:t xml:space="preserve">. Si el denominador es cero,</w:t>
      </w:r>
      <w:r>
        <w:t xml:space="preserve"> </w:t>
      </w:r>
      <m:oMath>
        <m:r>
          <m:t>A</m:t>
        </m:r>
        <m:r>
          <m:rPr>
            <m:sty m:val="p"/>
          </m:rPr>
          <m:t>=</m:t>
        </m:r>
        <m:r>
          <m:t>0</m:t>
        </m:r>
      </m:oMath>
      <w:r>
        <w:t xml:space="preserve">. El riesgo básico es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f>
                    <m:fPr>
                      <m:type m:val="bar"/>
                    </m:fPr>
                    <m:num>
                      <m:r>
                        <m:t>A</m:t>
                      </m:r>
                      <m:r>
                        <m:t> </m:t>
                      </m:r>
                      <m:r>
                        <m:t>P</m:t>
                      </m:r>
                      <m:r>
                        <m:t>S</m:t>
                      </m:r>
                      <m:sSub>
                        <m:e>
                          <m:r>
                            <m:t>E</m:t>
                          </m:r>
                        </m:e>
                        <m:sub>
                          <m:r>
                            <m:t>t</m:t>
                          </m:r>
                        </m:sub>
                      </m:sSub>
                    </m:num>
                    <m:den>
                      <m:r>
                        <m:t>120</m:t>
                      </m:r>
                    </m:den>
                  </m:f>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La</w:t>
      </w:r>
      <w:r>
        <w:t xml:space="preserve"> </w:t>
      </w:r>
      <m:oMath>
        <m:r>
          <m:t>A</m:t>
        </m:r>
      </m:oMath>
      <w:r>
        <w:t xml:space="preserve"> </w:t>
      </w:r>
      <w:r>
        <w:t xml:space="preserve">local es la versión primaria; una</w:t>
      </w:r>
      <w:r>
        <w:t xml:space="preserve"> </w:t>
      </w:r>
      <m:oMath>
        <m:r>
          <m:t>A</m:t>
        </m:r>
      </m:oMath>
      <w:r>
        <w:t xml:space="preserve"> </w:t>
      </w:r>
      <w:r>
        <w:t xml:space="preserve">fija</w:t>
      </w:r>
      <w:r>
        <w:t xml:space="preserve"> </w:t>
      </w:r>
      <m:oMath>
        <m:r>
          <m:rPr>
            <m:sty m:val="p"/>
          </m:rPr>
          <m:t>=</m:t>
        </m:r>
        <m:r>
          <m:t>3.0</m:t>
        </m:r>
      </m:oMath>
      <w:r>
        <w:t xml:space="preserve"> </w:t>
      </w:r>
      <w:r>
        <w:t xml:space="preserve">(coeficiente INPE de sabana abierta) se reporta como sensibilidad en la Tabla S22.</w:t>
      </w:r>
    </w:p>
    <w:bookmarkEnd w:id="22"/>
    <w:bookmarkStart w:id="23" w:name="riesgo-observado-y-momento-del-día"/>
    <w:p>
      <w:pPr>
        <w:pStyle w:val="Heading3"/>
      </w:pPr>
      <w:r>
        <w:t xml:space="preserve">Riesgo observado y momento del día</w:t>
      </w:r>
    </w:p>
    <w:p>
      <w:pPr>
        <w:pStyle w:val="FirstParagraph"/>
      </w:pPr>
      <w:r>
        <w:t xml:space="preserve">El riesgo observado es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con</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donde</w:t>
      </w:r>
      <w:r>
        <w:t xml:space="preserve"> </w:t>
      </w:r>
      <m:oMath>
        <m:sSub>
          <m:e>
            <m:r>
              <m:t>H</m:t>
            </m:r>
          </m:e>
          <m:sub>
            <m:r>
              <m:t>m</m:t>
            </m:r>
            <m:r>
              <m:t>i</m:t>
            </m:r>
            <m:r>
              <m:t>n</m:t>
            </m:r>
          </m:sub>
        </m:sSub>
      </m:oMath>
      <w:r>
        <w:t xml:space="preserve"> </w:t>
      </w:r>
      <w:r>
        <w:t xml:space="preserve">y</w:t>
      </w:r>
      <w:r>
        <w:t xml:space="preserve"> </w:t>
      </w:r>
      <m:oMath>
        <m:sSub>
          <m:e>
            <m:r>
              <m:t>T</m:t>
            </m:r>
          </m:e>
          <m:sub>
            <m:r>
              <m:t>m</m:t>
            </m:r>
            <m:r>
              <m:t>a</m:t>
            </m:r>
            <m:r>
              <m:t>x</m:t>
            </m:r>
          </m:sub>
        </m:sSub>
      </m:oMath>
      <w:r>
        <w:t xml:space="preserve"> </w:t>
      </w:r>
      <w:r>
        <w:t xml:space="preserve">son la humedad relativa mínima y la temperatura máxima diarias del mismo día,</w:t>
      </w:r>
      <w:r>
        <w:t xml:space="preserve"> </w:t>
      </w:r>
      <m:oMath>
        <m:r>
          <m:t>ϕ</m:t>
        </m:r>
      </m:oMath>
      <w:r>
        <w:t xml:space="preserve"> </w:t>
      </w:r>
      <w:r>
        <w:t xml:space="preserve">es la latitud y</w:t>
      </w:r>
      <w:r>
        <w:t xml:space="preserve"> </w:t>
      </w:r>
      <m:oMath>
        <m:r>
          <m:t>z</m:t>
        </m:r>
      </m:oMath>
      <w:r>
        <w:t xml:space="preserve"> </w:t>
      </w:r>
      <w:r>
        <w:t xml:space="preserve">la elevación (m). La tabla de la grilla de 1 km no contiene elevación, por lo que</w:t>
      </w:r>
      <w:r>
        <w:t xml:space="preserve"> </w:t>
      </w:r>
      <m:oMath>
        <m:sSub>
          <m:e>
            <m:r>
              <m:t>F</m:t>
            </m:r>
          </m:e>
          <m:sub>
            <m:r>
              <m:t>a</m:t>
            </m:r>
            <m:r>
              <m:t>l</m:t>
            </m:r>
            <m:r>
              <m:t>t</m:t>
            </m:r>
          </m:sub>
        </m:sSub>
        <m:r>
          <m:rPr>
            <m:sty m:val="p"/>
          </m:rPr>
          <m:t>=</m:t>
        </m:r>
        <m:r>
          <m:t>1</m:t>
        </m:r>
      </m:oMath>
      <w:r>
        <w:t xml:space="preserve"> </w:t>
      </w:r>
      <w:r>
        <w:t xml:space="preserve">en el benchmark. La serie INPE se guarda en</w:t>
      </w:r>
      <w:r>
        <w:t xml:space="preserve"> </w:t>
      </w:r>
      <w:r>
        <w:rPr>
          <w:rStyle w:val="VerbatimChar"/>
        </w:rPr>
        <w:t xml:space="preserve">inpe_diario.parquet</w:t>
      </w:r>
      <w:r>
        <w:t xml:space="preserve">; usa los campos diarios del mismo día y el mismo mapeo de nodo de 0.25° a celda que el FWI. No se aplica retardo</w:t>
      </w:r>
      <w:r>
        <w:t xml:space="preserve"> </w:t>
      </w:r>
      <m:oMath>
        <m:r>
          <m:t>t</m:t>
        </m:r>
        <m:r>
          <m:rPr>
            <m:sty m:val="p"/>
          </m:rPr>
          <m:t>−</m:t>
        </m:r>
        <m:r>
          <m:t>1</m:t>
        </m:r>
      </m:oMath>
      <w:r>
        <w:t xml:space="preserve">.</w:t>
      </w:r>
    </w:p>
    <w:bookmarkEnd w:id="23"/>
    <w:bookmarkEnd w:id="24"/>
    <w:bookmarkStart w:id="49" w:name="s4.3-calibración-y-puntos-operativos"/>
    <w:p>
      <w:pPr>
        <w:pStyle w:val="Heading2"/>
      </w:pPr>
      <w:r>
        <w:t xml:space="preserve">S4.3 Calibración y puntos operativos</w:t>
      </w:r>
    </w:p>
    <w:p>
      <w:pPr>
        <w:pStyle w:val="FirstParagraph"/>
      </w:pPr>
      <w:r>
        <w:rPr>
          <w:b/>
          <w:bCs/>
        </w:rPr>
        <w:t xml:space="preserve">No se aplicó calibración local a ninguno de los dos índices.</w:t>
      </w:r>
      <w:r>
        <w:t xml:space="preserve"> </w:t>
      </w:r>
      <w:r>
        <w:t xml:space="preserve">El FWI permanece en la escala del índice canadiense y el INPE en una escala de riesgo 0–1; ninguno es una probabilidad calibrada. Para ignición en cada región, el corte operativo se seleccionó en la validación de 2023 maximizando F0.5 y luego se congeló para 2024–2025 (Tablas S11 y S22). La ponderación local de</w:t>
      </w:r>
      <w:r>
        <w:t xml:space="preserve"> </w:t>
      </w:r>
      <m:oMath>
        <m:r>
          <m:t>A</m:t>
        </m:r>
      </m:oMath>
      <w:r>
        <w:t xml:space="preserve"> </w:t>
      </w:r>
      <w:r>
        <w:t xml:space="preserve">es una parametrización de cobertura, no una calibración a observaciones de fuego.</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Tabla S7.</w:t>
      </w:r>
      <w:r>
        <w:t xml:space="preserve"> </w:t>
      </w:r>
      <w:r>
        <w:t xml:space="preserve">Diferencias pareadas de ROC-AUC para las seis comparaciones confirmatorias (cuatro frente a FWI/INPE y dos M3−M2), agrupadas por fecha (test retrospectivo 2024–2025). Se reportan los valores p ajustados por Holm–Bonferroni y Benjamini–Hochberg.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su continuación añade un GBT con las variables de M3 más ambos índices. FWI e INPE son índices normalizados, no probabilidades calibradas. El GBT solo meteorología usa el mismo aprendiz, capacidad y calibración que M1/M2/M3, pero solo el conjunto de información del FWI; su detalle completo está en la Tabla S21. Todos los cortes, incluidos los de FWI e INPE, se seleccionaron en la validación de 2023 maximizando F0.5 y se congelaron para el test 2024–2025; ningún índice recibió calibración local. La constante A del INPE está ponderada por cobertura (A local); la Tabla S22 repite el benchmark con A fija = 3.0 y muestra que la conclusión de ranking no cambia. El FWI se reporta en la escala del índice canadiense (0.3029 en el Chaco, 2.1509 en Oriental) y el INPE en una escala de riesgo 0–1 (0.8963 en el Chaco, 0.0750 en Oriental).</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S11 (continuación).</w:t>
      </w:r>
      <w:r>
        <w:t xml:space="preserve"> </w:t>
      </w:r>
      <w:r>
        <w:t xml:space="preserve">GBT con el conjunto de variables de M3 más el FWI completo y el riesgo INPE local. ΔROC es este modelo menos M3, con bootstrap pareado agrupado por fecha (B = 1 000). Los valores positivos favorecen al modelo aumentado.</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(contexto local)</w:t>
            </w:r>
          </w:p>
        </w:tc>
        <w:tc>
          <w:tcPr/>
          <w:p>
            <w:pPr>
              <w:pStyle w:val="Compact"/>
            </w:pPr>
            <w:r>
              <w:t xml:space="preserve">0.8013 [0.796 - 0.807]</w:t>
            </w:r>
          </w:p>
        </w:tc>
        <w:tc>
          <w:tcPr/>
          <w:p>
            <w:pPr>
              <w:pStyle w:val="Compact"/>
              <w:jc w:val="right"/>
            </w:pPr>
            <w:r>
              <w:t xml:space="preserve">0.2864</w:t>
            </w:r>
          </w:p>
        </w:tc>
        <w:tc>
          <w:tcPr/>
          <w:p>
            <w:pPr>
              <w:pStyle w:val="Compact"/>
              <w:jc w:val="right"/>
            </w:pPr>
            <w:r>
              <w:t xml:space="preserve">0.0732</w:t>
            </w:r>
          </w:p>
        </w:tc>
        <w:tc>
          <w:tcPr/>
          <w:p>
            <w:pPr>
              <w:pStyle w:val="Compact"/>
              <w:jc w:val="right"/>
            </w:pPr>
            <w:r>
              <w:t xml:space="preserve">0.1146</w:t>
            </w:r>
          </w:p>
        </w:tc>
        <w:tc>
          <w:tcPr/>
          <w:p>
            <w:pPr>
              <w:pStyle w:val="Compact"/>
              <w:jc w:val="right"/>
            </w:pPr>
            <w:r>
              <w:t xml:space="preserve">0.0065</w:t>
            </w:r>
          </w:p>
        </w:tc>
        <w:tc>
          <w:tcPr/>
          <w:p>
            <w:pPr>
              <w:pStyle w:val="Compact"/>
              <w:jc w:val="right"/>
            </w:pPr>
            <w:r>
              <w:t xml:space="preserve">0.2495</w:t>
            </w:r>
          </w:p>
        </w:tc>
        <w:tc>
          <w:tcPr/>
          <w:p>
            <w:pPr>
              <w:pStyle w:val="Compact"/>
              <w:jc w:val="right"/>
            </w:pPr>
            <w:r>
              <w:t xml:space="preserve">0.3466</w:t>
            </w:r>
          </w:p>
        </w:tc>
        <w:tc>
          <w:tcPr/>
          <w:p>
            <w:pPr>
              <w:pStyle w:val="Compact"/>
              <w:jc w:val="right"/>
            </w:pPr>
            <w:r>
              <w:t xml:space="preserve">0.2758</w:t>
            </w:r>
          </w:p>
        </w:tc>
        <w:tc>
          <w:tcPr/>
          <w:p>
            <w:pPr>
              <w:pStyle w:val="Compact"/>
              <w:jc w:val="right"/>
            </w:pPr>
            <w:r>
              <w:t xml:space="preserve">0.3297</w:t>
            </w:r>
          </w:p>
        </w:tc>
        <w:tc>
          <w:tcPr/>
          <w:p>
            <w:pPr>
              <w:pStyle w:val="Compact"/>
              <w:jc w:val="right"/>
            </w:pPr>
            <w:r>
              <w:t xml:space="preserve">8,347</w:t>
            </w:r>
          </w:p>
        </w:tc>
        <w:tc>
          <w:tcPr/>
          <w:p>
            <w:pPr>
              <w:pStyle w:val="Compact"/>
              <w:jc w:val="right"/>
            </w:pPr>
            <w:r>
              <w:t xml:space="preserve">-0.0009 (0.182)</w:t>
            </w:r>
          </w:p>
        </w:tc>
      </w:tr>
      <w:tr>
        <w:tc>
          <w:tcPr/>
          <w:p>
            <w:pPr>
              <w:pStyle w:val="Compact"/>
            </w:pPr>
            <w:r>
              <w:t xml:space="preserve">Oriental</w:t>
            </w:r>
          </w:p>
        </w:tc>
        <w:tc>
          <w:tcPr/>
          <w:p>
            <w:pPr>
              <w:pStyle w:val="Compact"/>
            </w:pPr>
            <w:r>
              <w:t xml:space="preserve">M3 + FWI/INPE (contexto local)</w:t>
            </w:r>
          </w:p>
        </w:tc>
        <w:tc>
          <w:tcPr/>
          <w:p>
            <w:pPr>
              <w:pStyle w:val="Compact"/>
            </w:pPr>
            <w:r>
              <w:t xml:space="preserve">0.7547 [0.749 - 0.760]</w:t>
            </w:r>
          </w:p>
        </w:tc>
        <w:tc>
          <w:tcPr/>
          <w:p>
            <w:pPr>
              <w:pStyle w:val="Compact"/>
              <w:jc w:val="right"/>
            </w:pPr>
            <w:r>
              <w:t xml:space="preserve">0.2359</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0.0077</w:t>
            </w:r>
          </w:p>
        </w:tc>
        <w:tc>
          <w:tcPr/>
          <w:p>
            <w:pPr>
              <w:pStyle w:val="Compact"/>
              <w:jc w:val="right"/>
            </w:pPr>
            <w:r>
              <w:t xml:space="preserve">0.2084</w:t>
            </w:r>
          </w:p>
        </w:tc>
        <w:tc>
          <w:tcPr/>
          <w:p>
            <w:pPr>
              <w:pStyle w:val="Compact"/>
              <w:jc w:val="right"/>
            </w:pPr>
            <w:r>
              <w:t xml:space="preserve">0.2901</w:t>
            </w:r>
          </w:p>
        </w:tc>
        <w:tc>
          <w:tcPr/>
          <w:p>
            <w:pPr>
              <w:pStyle w:val="Compact"/>
              <w:jc w:val="right"/>
            </w:pPr>
            <w:r>
              <w:t xml:space="preserve">0.2075</w:t>
            </w:r>
          </w:p>
        </w:tc>
        <w:tc>
          <w:tcPr/>
          <w:p>
            <w:pPr>
              <w:pStyle w:val="Compact"/>
              <w:jc w:val="right"/>
            </w:pPr>
            <w:r>
              <w:t xml:space="preserve">0.2687</w:t>
            </w:r>
          </w:p>
        </w:tc>
        <w:tc>
          <w:tcPr/>
          <w:p>
            <w:pPr>
              <w:pStyle w:val="Compact"/>
              <w:jc w:val="right"/>
            </w:pPr>
            <w:r>
              <w:t xml:space="preserve">9,228</w:t>
            </w:r>
          </w:p>
        </w:tc>
        <w:tc>
          <w:tcPr/>
          <w:p>
            <w:pPr>
              <w:pStyle w:val="Compact"/>
              <w:jc w:val="right"/>
            </w:pPr>
            <w:r>
              <w:t xml:space="preserve">+0.0013 (0.001)</w:t>
            </w:r>
          </w:p>
        </w:tc>
      </w:tr>
    </w:tbl>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26" name="Picture"/>
            <a:graphic>
              <a:graphicData uri="http://schemas.openxmlformats.org/drawingml/2006/picture">
                <pic:pic>
                  <pic:nvPicPr>
                    <pic:cNvPr descr="../../entregables/figuras/supp_fig01_shap.png" id="27" name="Picture"/>
                    <pic:cNvPicPr>
                      <a:picLocks noChangeArrowheads="1" noChangeAspect="1"/>
                    </pic:cNvPicPr>
                  </pic:nvPicPr>
                  <pic:blipFill>
                    <a:blip r:embed="rId2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 con intervalos bootstrap del 95 % agrupados por fecha (B = 1 000). Las filas de FWI e INPE usan sus cortes F0.5 congelados (0.3029/2.1509 y 0.8963/0.0750, Chaco/Oriental); las de los modelos usan</w:t>
      </w:r>
      <w:r>
        <w:t xml:space="preserve"> </w:t>
      </w:r>
      <m:oMath>
        <m:r>
          <m:t>p</m:t>
        </m:r>
        <m:r>
          <m:rPr>
            <m:sty m:val="p"/>
          </m:rPr>
          <m:t>≥</m:t>
        </m:r>
        <m:r>
          <m:t>α</m:t>
        </m:r>
      </m:oMath>
      <w:r>
        <w:t xml:space="preserve">.</w:t>
      </w:r>
      <w:r>
        <w:t xml:space="preserve"> </w:t>
      </w:r>
      <m:oMath>
        <m:r>
          <m:t>V</m:t>
        </m:r>
      </m:oMath>
      <w:r>
        <w:t xml:space="preserve"> </w:t>
      </w:r>
      <w:r>
        <w:t xml:space="preserve">se recorta en −1; las filas congeladas de FWI/INPE alcanzan esa cota para</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0.068669</w:t>
            </w:r>
          </w:p>
        </w:tc>
        <w:tc>
          <w:tcPr/>
          <w:p>
            <w:pPr>
              <w:pStyle w:val="Compact"/>
              <w:jc w:val="right"/>
            </w:pPr>
            <w:r>
              <w:t xml:space="preserve">0.053930</w:t>
            </w:r>
          </w:p>
        </w:tc>
        <w:tc>
          <w:tcPr/>
          <w:p>
            <w:pPr>
              <w:pStyle w:val="Compact"/>
              <w:jc w:val="right"/>
            </w:pPr>
            <w:r>
              <w:t xml:space="preserve">0.082585</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-0.178710</w:t>
            </w:r>
          </w:p>
        </w:tc>
        <w:tc>
          <w:tcPr/>
          <w:p>
            <w:pPr>
              <w:pStyle w:val="Compact"/>
              <w:jc w:val="right"/>
            </w:pPr>
            <w:r>
              <w:t xml:space="preserve">-0.259917</w:t>
            </w:r>
          </w:p>
        </w:tc>
        <w:tc>
          <w:tcPr/>
          <w:p>
            <w:pPr>
              <w:pStyle w:val="Compact"/>
              <w:jc w:val="right"/>
            </w:pPr>
            <w:r>
              <w:t xml:space="preserve">-0.109427</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-0.413676</w:t>
            </w:r>
          </w:p>
        </w:tc>
        <w:tc>
          <w:tcPr/>
          <w:p>
            <w:pPr>
              <w:pStyle w:val="Compact"/>
              <w:jc w:val="right"/>
            </w:pPr>
            <w:r>
              <w:t xml:space="preserve">-0.509413</w:t>
            </w:r>
          </w:p>
        </w:tc>
        <w:tc>
          <w:tcPr/>
          <w:p>
            <w:pPr>
              <w:pStyle w:val="Compact"/>
              <w:jc w:val="right"/>
            </w:pPr>
            <w:r>
              <w:t xml:space="preserve">-0.318557</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0.025776</w:t>
            </w:r>
          </w:p>
        </w:tc>
        <w:tc>
          <w:tcPr/>
          <w:p>
            <w:pPr>
              <w:pStyle w:val="Compact"/>
              <w:jc w:val="right"/>
            </w:pPr>
            <w:r>
              <w:t xml:space="preserve">0.014429</w:t>
            </w:r>
          </w:p>
        </w:tc>
        <w:tc>
          <w:tcPr/>
          <w:p>
            <w:pPr>
              <w:pStyle w:val="Compact"/>
              <w:jc w:val="right"/>
            </w:pPr>
            <w:r>
              <w:t xml:space="preserve">0.036279</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-0.124257</w:t>
            </w:r>
          </w:p>
        </w:tc>
        <w:tc>
          <w:tcPr/>
          <w:p>
            <w:pPr>
              <w:pStyle w:val="Compact"/>
              <w:jc w:val="right"/>
            </w:pPr>
            <w:r>
              <w:t xml:space="preserve">-0.146519</w:t>
            </w:r>
          </w:p>
        </w:tc>
        <w:tc>
          <w:tcPr/>
          <w:p>
            <w:pPr>
              <w:pStyle w:val="Compact"/>
              <w:jc w:val="right"/>
            </w:pPr>
            <w:r>
              <w:t xml:space="preserve">-0.104933</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-0.374511</w:t>
            </w:r>
          </w:p>
        </w:tc>
        <w:tc>
          <w:tcPr/>
          <w:p>
            <w:pPr>
              <w:pStyle w:val="Compact"/>
              <w:jc w:val="right"/>
            </w:pPr>
            <w:r>
              <w:t xml:space="preserve">-0.421440</w:t>
            </w:r>
          </w:p>
        </w:tc>
        <w:tc>
          <w:tcPr/>
          <w:p>
            <w:pPr>
              <w:pStyle w:val="Compact"/>
              <w:jc w:val="right"/>
            </w:pPr>
            <w:r>
              <w:t xml:space="preserve">-0.333288</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-0.875772</w:t>
            </w:r>
          </w:p>
        </w:tc>
        <w:tc>
          <w:tcPr/>
          <w:p>
            <w:pPr>
              <w:pStyle w:val="Compact"/>
              <w:jc w:val="right"/>
            </w:pPr>
            <w:r>
              <w:t xml:space="preserve">-0.976925</w:t>
            </w:r>
          </w:p>
        </w:tc>
        <w:tc>
          <w:tcPr/>
          <w:p>
            <w:pPr>
              <w:pStyle w:val="Compact"/>
              <w:jc w:val="right"/>
            </w:pPr>
            <w:r>
              <w:t xml:space="preserve">-0.787776</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-0.507812</w:t>
            </w:r>
          </w:p>
        </w:tc>
        <w:tc>
          <w:tcPr/>
          <w:p>
            <w:pPr>
              <w:pStyle w:val="Compact"/>
              <w:jc w:val="right"/>
            </w:pPr>
            <w:r>
              <w:t xml:space="preserve">-0.626129</w:t>
            </w:r>
          </w:p>
        </w:tc>
        <w:tc>
          <w:tcPr/>
          <w:p>
            <w:pPr>
              <w:pStyle w:val="Compact"/>
              <w:jc w:val="right"/>
            </w:pPr>
            <w:r>
              <w:t xml:space="preserve">-0.391812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0.095154</w:t>
            </w:r>
          </w:p>
        </w:tc>
        <w:tc>
          <w:tcPr/>
          <w:p>
            <w:pPr>
              <w:pStyle w:val="Compact"/>
              <w:jc w:val="right"/>
            </w:pPr>
            <w:r>
              <w:t xml:space="preserve">0.060975</w:t>
            </w:r>
          </w:p>
        </w:tc>
        <w:tc>
          <w:tcPr/>
          <w:p>
            <w:pPr>
              <w:pStyle w:val="Compact"/>
              <w:jc w:val="right"/>
            </w:pPr>
            <w:r>
              <w:t xml:space="preserve">0.128764</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-0.199841</w:t>
            </w:r>
          </w:p>
        </w:tc>
        <w:tc>
          <w:tcPr/>
          <w:p>
            <w:pPr>
              <w:pStyle w:val="Compact"/>
              <w:jc w:val="right"/>
            </w:pPr>
            <w:r>
              <w:t xml:space="preserve">-0.253252</w:t>
            </w:r>
          </w:p>
        </w:tc>
        <w:tc>
          <w:tcPr/>
          <w:p>
            <w:pPr>
              <w:pStyle w:val="Compact"/>
              <w:jc w:val="right"/>
            </w:pPr>
            <w:r>
              <w:t xml:space="preserve">-0.151506</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-0.790718</w:t>
            </w:r>
          </w:p>
        </w:tc>
        <w:tc>
          <w:tcPr/>
          <w:p>
            <w:pPr>
              <w:pStyle w:val="Compact"/>
              <w:jc w:val="right"/>
            </w:pPr>
            <w:r>
              <w:t xml:space="preserve">-0.903235</w:t>
            </w:r>
          </w:p>
        </w:tc>
        <w:tc>
          <w:tcPr/>
          <w:p>
            <w:pPr>
              <w:pStyle w:val="Compact"/>
              <w:jc w:val="right"/>
            </w:pPr>
            <w:r>
              <w:t xml:space="preserve">-0.686492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-0.546558</w:t>
            </w:r>
          </w:p>
        </w:tc>
        <w:tc>
          <w:tcPr/>
          <w:p>
            <w:pPr>
              <w:pStyle w:val="Compact"/>
              <w:jc w:val="right"/>
            </w:pPr>
            <w:r>
              <w:t xml:space="preserve">-0.644759</w:t>
            </w:r>
          </w:p>
        </w:tc>
        <w:tc>
          <w:tcPr/>
          <w:p>
            <w:pPr>
              <w:pStyle w:val="Compact"/>
              <w:jc w:val="right"/>
            </w:pPr>
            <w:r>
              <w:t xml:space="preserve">-0.447792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-0.121545</w:t>
            </w:r>
          </w:p>
        </w:tc>
        <w:tc>
          <w:tcPr/>
          <w:p>
            <w:pPr>
              <w:pStyle w:val="Compact"/>
              <w:jc w:val="right"/>
            </w:pPr>
            <w:r>
              <w:t xml:space="preserve">-0.169156</w:t>
            </w:r>
          </w:p>
        </w:tc>
        <w:tc>
          <w:tcPr/>
          <w:p>
            <w:pPr>
              <w:pStyle w:val="Compact"/>
              <w:jc w:val="right"/>
            </w:pPr>
            <w:r>
              <w:t xml:space="preserve">-0.071252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-0.046250</w:t>
            </w:r>
          </w:p>
        </w:tc>
        <w:tc>
          <w:tcPr/>
          <w:p>
            <w:pPr>
              <w:pStyle w:val="Compact"/>
              <w:jc w:val="right"/>
            </w:pPr>
            <w:r>
              <w:t xml:space="preserve">-0.121375</w:t>
            </w:r>
          </w:p>
        </w:tc>
        <w:tc>
          <w:tcPr/>
          <w:p>
            <w:pPr>
              <w:pStyle w:val="Compact"/>
              <w:jc w:val="right"/>
            </w:pPr>
            <w:r>
              <w:t xml:space="preserve">0.021749</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-0.888181</w:t>
            </w:r>
          </w:p>
        </w:tc>
        <w:tc>
          <w:tcPr/>
          <w:p>
            <w:pPr>
              <w:pStyle w:val="Compact"/>
              <w:jc w:val="right"/>
            </w:pPr>
            <w:r>
              <w:t xml:space="preserve">-1.000000</w:t>
            </w:r>
          </w:p>
        </w:tc>
        <w:tc>
          <w:tcPr/>
          <w:p>
            <w:pPr>
              <w:pStyle w:val="Compact"/>
              <w:jc w:val="right"/>
            </w:pPr>
            <w:r>
              <w:t xml:space="preserve">-0.760532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bl>
    <w:p>
      <w:pPr>
        <w:pStyle w:val="CaptionedFigure"/>
      </w:pPr>
      <w:r>
        <w:drawing>
          <wp:inline>
            <wp:extent cx="4267200" cy="3352800"/>
            <wp:effectExtent b="0" l="0" r="0" t="0"/>
            <wp:docPr descr="Figura S2. Ablación controlada bajo el test D2. La figura complementa la Tabla S12." title="" id="29" name="Picture"/>
            <a:graphic>
              <a:graphicData uri="http://schemas.openxmlformats.org/drawingml/2006/picture">
                <pic:pic>
                  <pic:nvPicPr>
                    <pic:cNvPr descr="../../entregables/figuras/supp_fig02_ablacion.png" id="30" name="Picture"/>
                    <pic:cNvPicPr>
                      <a:picLocks noChangeArrowheads="1" noChangeAspect="1"/>
                    </pic:cNvPicPr>
                  </pic:nvPicPr>
                  <pic:blipFill>
                    <a:blip r:embed="rId2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5356"/>
            <wp:effectExtent b="0" l="0" r="0" t="0"/>
            <wp:docPr descr="Figura S3. Curvas cost-loss con bandas bootstrap del 95 % agrupadas por fecha (B = 1 000). El panel de propagación usa todo el rango de \alpha; el panel de ignición se trunca en \alpha=0.006 porque el valor de decisión es cero o despreciable para valores mayores. La figura complementa la Tabla S14." title="" id="32" name="Picture"/>
            <a:graphic>
              <a:graphicData uri="http://schemas.openxmlformats.org/drawingml/2006/picture">
                <pic:pic>
                  <pic:nvPicPr>
                    <pic:cNvPr descr="../../entregables/figuras/supp_fig03_cost_loss.png" id="33" name="Picture"/>
                    <pic:cNvPicPr>
                      <a:picLocks noChangeArrowheads="1" noChangeAspect="1"/>
                    </pic:cNvPicPr>
                  </pic:nvPicPr>
                  <pic:blipFill>
                    <a:blip r:embed="rId31"/>
                    <a:stretch>
                      <a:fillRect/>
                    </a:stretch>
                  </pic:blipFill>
                  <pic:spPr bwMode="auto">
                    <a:xfrm>
                      <a:off x="0" y="0"/>
                      <a:ext cx="5067300" cy="2025356"/>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con bandas bootstrap del 95 % agrupadas por fecha (B = 1 000).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S14 (continuación).</w:t>
      </w:r>
      <w:r>
        <w:t xml:space="preserve"> </w:t>
      </w:r>
      <w:r>
        <w:t xml:space="preserve">Sensibilidad al umbral y a la métrica. Los cortes F0.5, F1, F2 y Youden se seleccionan en la validación de 2023; precisión, recall y Fβ se calculan en el test 2024–2025. La Figura S6 muestra las curvas de validación.</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CaptionedFigure"/>
      </w:pPr>
      <w:r>
        <w:drawing>
          <wp:inline>
            <wp:extent cx="5067300" cy="3898876"/>
            <wp:effectExtent b="0" l="0" r="0" t="0"/>
            <wp:docPr descr="Figura S6. Precisión, recall, F0.5, F1 y F2 de validación frente al cutoff para la ignición M3 y el modelo de propagación, por región. Las líneas verticales marcan los cortes F0.5, F1, F2 y Youden; las métricas de test en esos cortes están en la Tabla S14 (continuación)." title="" id="35" name="Picture"/>
            <a:graphic>
              <a:graphicData uri="http://schemas.openxmlformats.org/drawingml/2006/picture">
                <pic:pic>
                  <pic:nvPicPr>
                    <pic:cNvPr descr="../../entregables/figuras/supp_fig06_sensibilidad_umbral.png" id="36" name="Picture"/>
                    <pic:cNvPicPr>
                      <a:picLocks noChangeArrowheads="1" noChangeAspect="1"/>
                    </pic:cNvPicPr>
                  </pic:nvPicPr>
                  <pic:blipFill>
                    <a:blip r:embed="rId34"/>
                    <a:stretch>
                      <a:fillRect/>
                    </a:stretch>
                  </pic:blipFill>
                  <pic:spPr bwMode="auto">
                    <a:xfrm>
                      <a:off x="0" y="0"/>
                      <a:ext cx="5067300" cy="3898876"/>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Precisión, recall, F0.5, F1 y F2 de validación frente al cutoff para la ignición M3 y el modelo de propagación, por región. Las líneas verticales marcan los cortes F0.5, F1, F2 y Youden; las métricas de test en esos cortes están en la Tabla S14 (continuación).</w:t>
      </w:r>
    </w:p>
    <w:p>
      <w:pPr>
        <w:pStyle w:val="CaptionedFigure"/>
      </w:pPr>
      <w:r>
        <w:drawing>
          <wp:inline>
            <wp:extent cx="5067300" cy="4346084"/>
            <wp:effectExtent b="0" l="0" r="0" t="0"/>
            <wp:docPr descr="Figura S4. Análisis de curvas de decisión: beneficio neto por 1 000 celdas-día muestreadas en función de la probabilidad umbral p_t, calculado sobre la muestra caso-control del test. La ignición (0–0.30) y la propagación (0–0.90) se muestran por separado por región. Las referencias son no alertar (NB = 0), alertar todo y climatología. FWI e INPE son índices sin calibrar; para cada p_t su umbral operativo se seleccionó en la validación de 2023 maximizando el beneficio neto y se congeló para el test. El eje y se recorta en −20; la referencia de alertar todo cae por debajo en p_t altos." title="" id="38" name="Picture"/>
            <a:graphic>
              <a:graphicData uri="http://schemas.openxmlformats.org/drawingml/2006/picture">
                <pic:pic>
                  <pic:nvPicPr>
                    <pic:cNvPr descr="../../entregables/figuras/supp_fig04_net_benefit.png" id="39" name="Picture"/>
                    <pic:cNvPicPr>
                      <a:picLocks noChangeArrowheads="1" noChangeAspect="1"/>
                    </pic:cNvPicPr>
                  </pic:nvPicPr>
                  <pic:blipFill>
                    <a:blip r:embed="rId37"/>
                    <a:stretch>
                      <a:fillRect/>
                    </a:stretch>
                  </pic:blipFill>
                  <pic:spPr bwMode="auto">
                    <a:xfrm>
                      <a:off x="0" y="0"/>
                      <a:ext cx="5067300" cy="4346084"/>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Análisis de curvas de decisión: beneficio neto por 1 000 celdas-día muestreadas en función de la probabilidad umbral</w:t>
      </w:r>
      <w:r>
        <w:t xml:space="preserve"> </w:t>
      </w:r>
      <m:oMath>
        <m:sSub>
          <m:e>
            <m:r>
              <m:t>p</m:t>
            </m:r>
          </m:e>
          <m:sub>
            <m:r>
              <m:t>t</m:t>
            </m:r>
          </m:sub>
        </m:sSub>
      </m:oMath>
      <w:r>
        <w:t xml:space="preserve">, calculado sobre la muestra caso-control del test. La ignición (0–0.30) y la propagación (0–0.90) se muestran por separado por región. Las referencias son no alertar (NB = 0), alertar todo y climatología. FWI e INPE son índices sin calibrar; para cada</w:t>
      </w:r>
      <w:r>
        <w:t xml:space="preserve"> </w:t>
      </w:r>
      <m:oMath>
        <m:sSub>
          <m:e>
            <m:r>
              <m:t>p</m:t>
            </m:r>
          </m:e>
          <m:sub>
            <m:r>
              <m:t>t</m:t>
            </m:r>
          </m:sub>
        </m:sSub>
      </m:oMath>
      <w:r>
        <w:t xml:space="preserve"> </w:t>
      </w:r>
      <w:r>
        <w:t xml:space="preserve">su umbral operativo se seleccionó en la validación de 2023 maximizando el beneficio neto y se congeló para el test. El eje y se recorta en −20; la referencia de alertar todo cae por debajo en</w:t>
      </w:r>
      <w:r>
        <w:t xml:space="preserve"> </w:t>
      </w:r>
      <m:oMath>
        <m:sSub>
          <m:e>
            <m:r>
              <m:t>p</m:t>
            </m:r>
          </m:e>
          <m:sub>
            <m:r>
              <m:t>t</m:t>
            </m:r>
          </m:sub>
        </m:sSub>
      </m:oMath>
      <w:r>
        <w:t xml:space="preserve"> </w:t>
      </w:r>
      <w:r>
        <w:t xml:space="preserve">altos.</w:t>
      </w:r>
    </w:p>
    <w:p>
      <w:pPr>
        <w:pStyle w:val="CaptionedFigure"/>
      </w:pPr>
      <w:r>
        <w:drawing>
          <wp:inline>
            <wp:extent cx="5067300" cy="4023483"/>
            <wp:effectExtent b="0" l="0" r="0" t="0"/>
            <wp:docPr descr="Figura S8. 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 title="" id="41" name="Picture"/>
            <a:graphic>
              <a:graphicData uri="http://schemas.openxmlformats.org/drawingml/2006/picture">
                <pic:pic>
                  <pic:nvPicPr>
                    <pic:cNvPr descr="../../entregables/figuras/supp_fig08_presupuesto_alertas.png" id="42" name="Picture"/>
                    <pic:cNvPicPr>
                      <a:picLocks noChangeArrowheads="1" noChangeAspect="1"/>
                    </pic:cNvPicPr>
                  </pic:nvPicPr>
                  <pic:blipFill>
                    <a:blip r:embed="rId40"/>
                    <a:stretch>
                      <a:fillRect/>
                    </a:stretch>
                  </pic:blipFill>
                  <pic:spPr bwMode="auto">
                    <a:xfrm>
                      <a:off x="0" y="0"/>
                      <a:ext cx="5067300" cy="4023483"/>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Región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10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p>
      <w:pPr>
        <w:pStyle w:val="BodyText"/>
      </w:pPr>
      <w:r>
        <w:rPr>
          <w:b/>
          <w:bCs/>
        </w:rPr>
        <w:t xml:space="preserve">Tabla S21.</w:t>
      </w:r>
      <w:r>
        <w:t xml:space="preserve"> </w:t>
      </w:r>
      <w:r>
        <w:t xml:space="preserve">Línea base GBT solo meteorología en el test retrospectivo 2024–2025. El modelo usa el mismo aprendiz, capacidad, restricciones monótonas y calibración de Platt monótona que M1/M2/M3, pero solo el conjunto de información disponible para el FWI canadiense.</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Variables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El BSS es relativo a la prevalencia de entrenamiento 2018–2022. ΔROC es M3 menos el GBT solo meteorología, con bootstrap pareado agrupado por fecha (B = 1 000). La tabla legible por máquina está en</w:t>
      </w:r>
      <w:r>
        <w:t xml:space="preserve"> </w:t>
      </w:r>
      <w:r>
        <w:rPr>
          <w:rStyle w:val="VerbatimChar"/>
        </w:rPr>
        <w:t xml:space="preserve">tablas/tablaS21_benchmark_weather_only.csv</w:t>
      </w:r>
      <w:r>
        <w:t xml:space="preserve">.</w:t>
      </w:r>
    </w:p>
    <w:p>
      <w:pPr>
        <w:pStyle w:val="BodyText"/>
      </w:pPr>
      <w:r>
        <w:rPr>
          <w:b/>
          <w:bCs/>
        </w:rPr>
        <w:t xml:space="preserve">Tabla S22.</w:t>
      </w:r>
      <w:r>
        <w:t xml:space="preserve"> </w:t>
      </w:r>
      <w:r>
        <w:t xml:space="preserve">Sensibilidad del INPE Risco de Fogo a la constante de flamabilidad A en el test retrospectivo 2024–2025. La versión primaria usa A ponderada por las fracciones de cobertura de MapBiomas (A local, específica por celda); la versión de sensibilidad fija A = 3.0, el coeficiente INPE de sabana abierta, para todas las celdas. Los cortes se seleccionaron en la validación de 2023 maximizando F0.5 y se congelaron para 2024–2025, por lo que precisión, recall y F0.5 corresponden a puntos operativos distintos y no son directamente comparables entre filas. ΔROC es A fija menos A local, con bootstrap pareado agrupado por fecha (B = 1 000); los valores positivos favorecen la versión fija. Ambas versiones quedan muy por debajo de M3 (ROC-AUC 0.8021/0.7534; Tabla 4). En la muestra de test, la A local promedia 2.89 en el Chaco y 3.71 en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0.5389 [0.529 - 0.549]</w:t>
            </w:r>
          </w:p>
        </w:tc>
        <w:tc>
          <w:tcPr/>
          <w:p>
            <w:pPr>
              <w:pStyle w:val="Compact"/>
              <w:jc w:val="right"/>
            </w:pPr>
            <w:r>
              <w:t xml:space="preserve">0.1031</w:t>
            </w:r>
          </w:p>
        </w:tc>
        <w:tc>
          <w:tcPr/>
          <w:p>
            <w:pPr>
              <w:pStyle w:val="Compact"/>
              <w:jc w:val="right"/>
            </w:pPr>
            <w:r>
              <w:t xml:space="preserve">0.8963</w:t>
            </w:r>
          </w:p>
        </w:tc>
        <w:tc>
          <w:tcPr/>
          <w:p>
            <w:pPr>
              <w:pStyle w:val="Compact"/>
              <w:jc w:val="right"/>
            </w:pPr>
            <w:r>
              <w:t xml:space="preserve">0.1172</w:t>
            </w:r>
          </w:p>
        </w:tc>
        <w:tc>
          <w:tcPr/>
          <w:p>
            <w:pPr>
              <w:pStyle w:val="Compact"/>
              <w:jc w:val="right"/>
            </w:pPr>
            <w:r>
              <w:t xml:space="preserve">0.1257</w:t>
            </w:r>
          </w:p>
        </w:tc>
        <w:tc>
          <w:tcPr/>
          <w:p>
            <w:pPr>
              <w:pStyle w:val="Compact"/>
              <w:jc w:val="right"/>
            </w:pPr>
            <w:r>
              <w:t xml:space="preserve">0.1188</w:t>
            </w:r>
          </w:p>
        </w:tc>
        <w:tc>
          <w:tcPr/>
          <w:p>
            <w:pPr>
              <w:pStyle w:val="Compact"/>
              <w:jc w:val="right"/>
            </w:pPr>
            <w:r>
              <w:t xml:space="preserve">15,207</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0.4979 [0.489 - 0.507]</w:t>
            </w:r>
          </w:p>
        </w:tc>
        <w:tc>
          <w:tcPr/>
          <w:p>
            <w:pPr>
              <w:pStyle w:val="Compact"/>
              <w:jc w:val="right"/>
            </w:pPr>
            <w:r>
              <w:t xml:space="preserve">0.0883</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158,080</w:t>
            </w:r>
          </w:p>
        </w:tc>
        <w:tc>
          <w:tcPr/>
          <w:p>
            <w:pPr>
              <w:pStyle w:val="Compact"/>
              <w:jc w:val="right"/>
            </w:pPr>
            <w:r>
              <w:t xml:space="preserve">-0.0409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0.4990 [0.488 - 0.510]</w:t>
            </w:r>
          </w:p>
        </w:tc>
        <w:tc>
          <w:tcPr/>
          <w:p>
            <w:pPr>
              <w:pStyle w:val="Compact"/>
              <w:jc w:val="right"/>
            </w:pPr>
            <w:r>
              <w:t xml:space="preserve">0.0908</w:t>
            </w:r>
          </w:p>
        </w:tc>
        <w:tc>
          <w:tcPr/>
          <w:p>
            <w:pPr>
              <w:pStyle w:val="Compact"/>
              <w:jc w:val="right"/>
            </w:pPr>
            <w:r>
              <w:t xml:space="preserve">0.0750</w:t>
            </w:r>
          </w:p>
        </w:tc>
        <w:tc>
          <w:tcPr/>
          <w:p>
            <w:pPr>
              <w:pStyle w:val="Compact"/>
              <w:jc w:val="right"/>
            </w:pPr>
            <w:r>
              <w:t xml:space="preserve">0.0924</w:t>
            </w:r>
          </w:p>
        </w:tc>
        <w:tc>
          <w:tcPr/>
          <w:p>
            <w:pPr>
              <w:pStyle w:val="Compact"/>
              <w:jc w:val="right"/>
            </w:pPr>
            <w:r>
              <w:t xml:space="preserve">0.7947</w:t>
            </w:r>
          </w:p>
        </w:tc>
        <w:tc>
          <w:tcPr/>
          <w:p>
            <w:pPr>
              <w:pStyle w:val="Compact"/>
              <w:jc w:val="right"/>
            </w:pPr>
            <w:r>
              <w:t xml:space="preserve">0.1123</w:t>
            </w:r>
          </w:p>
        </w:tc>
        <w:tc>
          <w:tcPr/>
          <w:p>
            <w:pPr>
              <w:pStyle w:val="Compact"/>
              <w:jc w:val="right"/>
            </w:pPr>
            <w:r>
              <w:t xml:space="preserve">141,802</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15,082</w:t>
            </w:r>
          </w:p>
        </w:tc>
        <w:tc>
          <w:tcPr/>
          <w:p>
            <w:pPr>
              <w:pStyle w:val="Compact"/>
              <w:jc w:val="right"/>
            </w:pPr>
            <w:r>
              <w:t xml:space="preserve">+0.0508 (0.001)</w:t>
            </w:r>
          </w:p>
        </w:tc>
      </w:tr>
    </w:tbl>
    <w:p>
      <w:pPr>
        <w:pStyle w:val="BodyText"/>
      </w:pPr>
      <w:r>
        <w:rPr>
          <w:b/>
          <w:bCs/>
        </w:rPr>
        <w:t xml:space="preserve">Tabla S23.</w:t>
      </w:r>
      <w:r>
        <w:t xml:space="preserve"> </w:t>
      </w:r>
      <w:r>
        <w:t xml:space="preserve">Beneficio neto por 1 000 celdas-día muestreadas en umbrales seleccionados del análisis de curvas de decisión (Figura S4), calculado sobre la muestra caso-control del test. Las referencias (no alertar, alertar todo, climatología) se muestran en la figura.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0.093</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1.839</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43.579</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43.014</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2.793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-1.091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0.036</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Tabla S23 (continuación).</w:t>
      </w:r>
      <w:r>
        <w:t xml:space="preserve"> </w:t>
      </w:r>
      <w:r>
        <w:t xml:space="preserve">Carga operativa en el corte poblacional congelado y con presupuestos de K alertas/día (K = 10, 50, 100). Alertas/día, precisión, recall y lift están ponderados por población; alertas/acierto = 1/precisión; α* maximiza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Tabla S24.</w:t>
      </w:r>
      <w:r>
        <w:t xml:space="preserve"> </w:t>
      </w:r>
      <w:r>
        <w:t xml:space="preserve">Diferencias pareadas de valor de decisión, ΔV(α) = V(M3) − V(referencia), para M2 y FWI, con bootstrap agrupado por fecha. Los valores positivos favorecen a M3. Los intervalos son percentiles del 95 % con B = 1 000 remuestreos de fechas; el p es bilateral. «Sí» marca los α en que el intervalo excluye cero. Para FWI, el umbral de cada α se seleccionó en la validación de 2023 maximizando V(α) y se congeló para el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0.0687</w:t>
            </w:r>
          </w:p>
        </w:tc>
        <w:tc>
          <w:tcPr/>
          <w:p>
            <w:pPr>
              <w:pStyle w:val="Compact"/>
              <w:jc w:val="right"/>
            </w:pPr>
            <w:r>
              <w:t xml:space="preserve">+0.3033</w:t>
            </w:r>
          </w:p>
        </w:tc>
        <w:tc>
          <w:tcPr/>
          <w:p>
            <w:pPr>
              <w:pStyle w:val="Compact"/>
            </w:pPr>
            <w:r>
              <w:t xml:space="preserve">[+0.2839, +0.3222]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0.0236</w:t>
            </w:r>
          </w:p>
        </w:tc>
        <w:tc>
          <w:tcPr/>
          <w:p>
            <w:pPr>
              <w:pStyle w:val="Compact"/>
              <w:jc w:val="right"/>
            </w:pPr>
            <w:r>
              <w:t xml:space="preserve">+0.3477</w:t>
            </w:r>
          </w:p>
        </w:tc>
        <w:tc>
          <w:tcPr/>
          <w:p>
            <w:pPr>
              <w:pStyle w:val="Compact"/>
            </w:pPr>
            <w:r>
              <w:t xml:space="preserve">[+0.3200, +0.3735]</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0.0010</w:t>
            </w:r>
          </w:p>
        </w:tc>
        <w:tc>
          <w:tcPr/>
          <w:p>
            <w:pPr>
              <w:pStyle w:val="Compact"/>
              <w:jc w:val="right"/>
            </w:pPr>
            <w:r>
              <w:t xml:space="preserve">+0.1013</w:t>
            </w:r>
          </w:p>
        </w:tc>
        <w:tc>
          <w:tcPr/>
          <w:p>
            <w:pPr>
              <w:pStyle w:val="Compact"/>
            </w:pPr>
            <w:r>
              <w:t xml:space="preserve">[+0.0863, +0.1147]</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0.0000</w:t>
            </w:r>
          </w:p>
        </w:tc>
        <w:tc>
          <w:tcPr/>
          <w:p>
            <w:pPr>
              <w:pStyle w:val="Compact"/>
              <w:jc w:val="right"/>
            </w:pPr>
            <w:r>
              <w:t xml:space="preserve">+0.0155</w:t>
            </w:r>
          </w:p>
        </w:tc>
        <w:tc>
          <w:tcPr/>
          <w:p>
            <w:pPr>
              <w:pStyle w:val="Compact"/>
            </w:pPr>
            <w:r>
              <w:t xml:space="preserve">[+0.0104, +0.0204]</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0.0178</w:t>
            </w:r>
          </w:p>
        </w:tc>
        <w:tc>
          <w:tcPr/>
          <w:p>
            <w:pPr>
              <w:pStyle w:val="Compact"/>
              <w:jc w:val="right"/>
            </w:pPr>
            <w:r>
              <w:t xml:space="preserve">+0.1006</w:t>
            </w:r>
          </w:p>
        </w:tc>
        <w:tc>
          <w:tcPr/>
          <w:p>
            <w:pPr>
              <w:pStyle w:val="Compact"/>
            </w:pPr>
            <w:r>
              <w:t xml:space="preserve">[+0.0853, +0.1165]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0.0632</w:t>
            </w:r>
          </w:p>
        </w:tc>
        <w:tc>
          <w:tcPr/>
          <w:p>
            <w:pPr>
              <w:pStyle w:val="Compact"/>
              <w:jc w:val="right"/>
            </w:pPr>
            <w:r>
              <w:t xml:space="preserve">+0.1642</w:t>
            </w:r>
          </w:p>
        </w:tc>
        <w:tc>
          <w:tcPr/>
          <w:p>
            <w:pPr>
              <w:pStyle w:val="Compact"/>
            </w:pPr>
            <w:r>
              <w:t xml:space="preserve">[+0.1403, +0.1873]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0.0990</w:t>
            </w:r>
          </w:p>
        </w:tc>
        <w:tc>
          <w:tcPr/>
          <w:p>
            <w:pPr>
              <w:pStyle w:val="Compact"/>
              <w:jc w:val="right"/>
            </w:pPr>
            <w:r>
              <w:t xml:space="preserve">+0.2140</w:t>
            </w:r>
          </w:p>
        </w:tc>
        <w:tc>
          <w:tcPr/>
          <w:p>
            <w:pPr>
              <w:pStyle w:val="Compact"/>
            </w:pPr>
            <w:r>
              <w:t xml:space="preserve">[+0.1837, +0.2429]</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0.0041</w:t>
            </w:r>
          </w:p>
        </w:tc>
        <w:tc>
          <w:tcPr/>
          <w:p>
            <w:pPr>
              <w:pStyle w:val="Compact"/>
              <w:jc w:val="right"/>
            </w:pPr>
            <w:r>
              <w:t xml:space="preserve">+0.1053</w:t>
            </w:r>
          </w:p>
        </w:tc>
        <w:tc>
          <w:tcPr/>
          <w:p>
            <w:pPr>
              <w:pStyle w:val="Compact"/>
            </w:pPr>
            <w:r>
              <w:t xml:space="preserve">[+0.0891, +0.1203]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Tabla S25.</w:t>
      </w:r>
      <w:r>
        <w:t xml:space="preserve"> </w:t>
      </w:r>
      <w:r>
        <w:t xml:space="preserve">Estabilidad de M2 y M3 a la semilla y la capacidad (5 semillas × 2 capacidades por región). La variante de capacidad alta aumenta hojas y rondas en 20 %. ΔROC es M3 − M2 dentro de la misma semilla y capacidad; el IC del 95 % es un intervalo t entre corridas, y la última columna es la fracción de corridas con Δ positivo.</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actual</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alta</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actual</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alta</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Tabla S26.</w:t>
      </w:r>
      <w:r>
        <w:t xml:space="preserve"> </w:t>
      </w:r>
      <w:r>
        <w:t xml:space="preserve">Backtest rolling-origin. Cada fold entrena hasta Y−2, valida en Y−1 (cutoff y calibración de Platt) y testea en Y. M1/M2/M3 se reentrenan en cada fold; ΔROC es M3−M2 con bootstrap pareado agrupado por fecha (B = 1 000). La Figura S5 muestra las trayectorias por fold.</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+0.0084 (0.001)</w:t>
            </w:r>
          </w:p>
        </w:tc>
      </w:tr>
    </w:tbl>
    <w:p>
      <w:pPr>
        <w:pStyle w:val="CaptionedFigure"/>
      </w:pPr>
      <w:r>
        <w:drawing>
          <wp:inline>
            <wp:extent cx="5067300" cy="2093572"/>
            <wp:effectExtent b="0" l="0" r="0" t="0"/>
            <wp:docPr descr="Figura S5. ROC-AUC rolling-origin por año de test para M1, M2 y M3. Los números junto a M3 son ΔROC(M3−M2)." title="" id="44" name="Picture"/>
            <a:graphic>
              <a:graphicData uri="http://schemas.openxmlformats.org/drawingml/2006/picture">
                <pic:pic>
                  <pic:nvPicPr>
                    <pic:cNvPr descr="../../entregables/figuras/supp_fig05_rolling_origin.png" id="45" name="Picture"/>
                    <pic:cNvPicPr>
                      <a:picLocks noChangeArrowheads="1" noChangeAspect="1"/>
                    </pic:cNvPicPr>
                  </pic:nvPicPr>
                  <pic:blipFill>
                    <a:blip r:embed="rId43"/>
                    <a:stretch>
                      <a:fillRect/>
                    </a:stretch>
                  </pic:blipFill>
                  <pic:spPr bwMode="auto">
                    <a:xfrm>
                      <a:off x="0" y="0"/>
                      <a:ext cx="5067300" cy="2093572"/>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ROC-AUC rolling-origin por año de test para M1, M2 y M3. Los números junto a M3 son ΔROC(M3−M2).</w:t>
      </w:r>
    </w:p>
    <w:p>
      <w:pPr>
        <w:pStyle w:val="BodyText"/>
      </w:pPr>
      <w:r>
        <w:rPr>
          <w:b/>
          <w:bCs/>
        </w:rPr>
        <w:t xml:space="preserve">Tabla S27.</w:t>
      </w:r>
      <w:r>
        <w:t xml:space="preserve"> </w:t>
      </w:r>
      <w:r>
        <w:t xml:space="preserve">Sensibilidad al solapamiento train/test en el test retrospectivo 2024–2025. Las métricas se recalculan con los cortes congelados de 2023 sobre: el test completo; celdas nunca vistas en entrenamiento; celdas sin ninguna detección de fuego en entrenamiento; celdas con</w:t>
      </w:r>
      <w:r>
        <w:t xml:space="preserve"> </w:t>
      </w:r>
      <w:r>
        <w:rPr>
          <w:rStyle w:val="VerbatimChar"/>
        </w:rPr>
        <w:t xml:space="preserve">freq_hist_1km = 0</w:t>
      </w:r>
      <w:r>
        <w:t xml:space="preserve">; y solo 2025. El BSS usa la prevalencia del test completo de cada región como referencia, de modo que las filas</w:t>
      </w:r>
      <w:r>
        <w:t xml:space="preserve"> </w:t>
      </w:r>
      <w:r>
        <w:rPr>
          <w:rStyle w:val="VerbatimChar"/>
        </w:rPr>
        <w:t xml:space="preserve">full</w:t>
      </w:r>
      <w:r>
        <w:t xml:space="preserve"> </w:t>
      </w:r>
      <w:r>
        <w:t xml:space="preserve">reproducen la Tabla 2. Δ es relativo al test completo para el mismo modelo. La precisión, el recall y el F0.5 se reportan como fracciones en el corte congelado.</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Los intervalos son percentiles bootstrap del 95 % con 500 réplicas que remuestrean fechas, no filas. Los subconjuntos cambian la prevalencia, por lo que PR-AUC, precisión, recall y F0.5 no son directamente comparables entre filas; ROC-AUC es la comparación primaria. El subconjunto de celdas no vistas es pequeño y espacialmente sesgado, sobre todo en Oriental, y no sustituye a un holdout espacial ciego. La propagación no se evalúa en el subconjunto de celdas no vistas porque contiene solo 3 292/145 filas (115/2 positivos). El subconjunto sin historia tiene menor prevalencia (4.0–5.3 %), por lo que los cortes congelados producen un recall bajo; es un efecto de composición, no evidencia de fallo del modelo.</w:t>
      </w:r>
    </w:p>
    <w:p>
      <w:pPr>
        <w:pStyle w:val="BodyText"/>
      </w:pPr>
      <w:r>
        <w:rPr>
          <w:b/>
          <w:bCs/>
        </w:rPr>
        <w:t xml:space="preserve">Tabla S27 (continuación).</w:t>
      </w:r>
      <w:r>
        <w:t xml:space="preserve"> </w:t>
      </w:r>
      <w:r>
        <w:t xml:space="preserve">Diferencias pareadas M3 − M2 de ROC-AUC y PR-AUC por subconjunto. Los valores positivos favorecen a M3. Los intervalos son percentiles bootstrap pareados del 95 % agrupados por fecha (B = 1 000); el p es bilateral y tiene resolución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Tabla S28.</w:t>
      </w:r>
      <w:r>
        <w:t xml:space="preserve"> </w:t>
      </w:r>
      <w:r>
        <w:t xml:space="preserve">Sensibilidad a la razón de muestreo. La fila 1:5 submuestrea negativos de entrenamiento del muestreo 1:10 congelado; la fila 1:20 usa negativos independientes de un plan 20:1 generado desde el archivo candidato completo. Validación y test permanecen en 1:10 para que las métricas sean comparables. La precisión poblacional aplica la corrección por prevalencia.</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Ratio</w:t>
            </w:r>
          </w:p>
        </w:tc>
        <w:tc>
          <w:tcPr/>
          <w:p>
            <w:pPr>
              <w:pStyle w:val="Compact"/>
            </w:pPr>
            <w:r>
              <w:t xml:space="preserve">Model</w:t>
            </w:r>
          </w:p>
        </w:tc>
        <w:tc>
          <w:tcPr/>
          <w:p>
            <w:pPr>
              <w:pStyle w:val="Compact"/>
              <w:jc w:val="right"/>
            </w:pPr>
            <w:r>
              <w:t xml:space="preserve">n train</w:t>
            </w:r>
          </w:p>
        </w:tc>
        <w:tc>
          <w:tcPr/>
          <w:p>
            <w:pPr>
              <w:pStyle w:val="Compact"/>
              <w:jc w:val="right"/>
            </w:pPr>
            <w:r>
              <w:t xml:space="preserve">Pos train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Cutoff F0.5</w:t>
            </w:r>
          </w:p>
        </w:tc>
        <w:tc>
          <w:tcPr/>
          <w:p>
            <w:pPr>
              <w:pStyle w:val="Compact"/>
              <w:jc w:val="right"/>
            </w:pPr>
            <w:r>
              <w:t xml:space="preserve">Population precision</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(independientes)</w:t>
            </w:r>
          </w:p>
        </w:tc>
        <w:tc>
          <w:tcPr/>
          <w:p>
            <w:pPr>
              <w:pStyle w:val="Compact"/>
            </w:pPr>
            <w:r>
              <w:t xml:space="preserve">M2</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(independientes)</w:t>
            </w:r>
          </w:p>
        </w:tc>
        <w:tc>
          <w:tcPr/>
          <w:p>
            <w:pPr>
              <w:pStyle w:val="Compact"/>
            </w:pPr>
            <w:r>
              <w:t xml:space="preserve">M3</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(independientes)</w:t>
            </w:r>
          </w:p>
        </w:tc>
        <w:tc>
          <w:tcPr/>
          <w:p>
            <w:pPr>
              <w:pStyle w:val="Compact"/>
            </w:pPr>
            <w:r>
              <w:t xml:space="preserve">M2</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(independientes)</w:t>
            </w:r>
          </w:p>
        </w:tc>
        <w:tc>
          <w:tcPr/>
          <w:p>
            <w:pPr>
              <w:pStyle w:val="Compact"/>
            </w:pPr>
            <w:r>
              <w:t xml:space="preserve">M3</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Tabla S29.</w:t>
      </w:r>
      <w:r>
        <w:t xml:space="preserve"> </w:t>
      </w:r>
      <w:r>
        <w:t xml:space="preserve">Validación adversarial entre filas de entrenamiento (2018–2022) y test (2024–2025) usando el conjunto de variables de M3. El AUC es la media de cinco folds estratificados; las variables principales se ordenan por ganancia media de LightGBM. Un AUC alto indica cambio de distribución, no desempeño del modelo.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Tabla S30.</w:t>
      </w:r>
      <w:r>
        <w:t xml:space="preserve"> </w:t>
      </w:r>
      <w:r>
        <w:t xml:space="preserve">Variantes de calidad de etiquetas VIIRS.</w:t>
      </w:r>
      <w:r>
        <w:t xml:space="preserve"> </w:t>
      </w:r>
      <w:r>
        <w:rPr>
          <w:rStyle w:val="VerbatimChar"/>
        </w:rPr>
        <w:t xml:space="preserve">high_confidence</w:t>
      </w:r>
      <w:r>
        <w:t xml:space="preserve"> </w:t>
      </w:r>
      <w:r>
        <w:t xml:space="preserve">conserva detecciones de confianza alta;</w:t>
      </w:r>
      <w:r>
        <w:t xml:space="preserve"> </w:t>
      </w:r>
      <w:r>
        <w:rPr>
          <w:rStyle w:val="VerbatimChar"/>
        </w:rPr>
        <w:t xml:space="preserve">frp_ge_10</w:t>
      </w:r>
      <w:r>
        <w:t xml:space="preserve"> </w:t>
      </w:r>
      <w:r>
        <w:t xml:space="preserve">conserva detecciones con FRP ≥ 10 MW. Las variantes se aplican a las filas positivas del muestreo 1:10 congelado; los negativos no cambian. La variante de nubosidad &lt; 40 % no se reporta: FIRMS no contiene una máscara de nubes y la descarga del proxy de nubosidad total ERA5 no completó en la cola del CDS. Es una sensibilidad de etiquetas, no una reconstrucción completa de D2.</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Variant</w:t>
            </w:r>
          </w:p>
        </w:tc>
        <w:tc>
          <w:tcPr/>
          <w:p>
            <w:pPr>
              <w:pStyle w:val="Compact"/>
            </w:pPr>
            <w:r>
              <w:t xml:space="preserve">Model</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Tabla S31.</w:t>
      </w:r>
      <w:r>
        <w:t xml:space="preserve"> </w:t>
      </w:r>
      <w:r>
        <w:t xml:space="preserve">Ablación del umbral del gate. El gate basal es VPD ≥ 0.8 kPa y lluvia 48 h &lt; 10 mm; las variantes estrictas retienen 73–92 % de los positivos. La fila sin gate usa una muestra 1:10 independiente generada sin el filtro biofísico desde el archivo candidato completo. El FWI se evalúa en las mismas filas.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Region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0.5173</w:t>
            </w:r>
          </w:p>
        </w:tc>
        <w:tc>
          <w:tcPr/>
          <w:p>
            <w:pPr>
              <w:pStyle w:val="Compact"/>
              <w:jc w:val="right"/>
            </w:pPr>
            <w:r>
              <w:t xml:space="preserve">+0.0030</w:t>
            </w:r>
          </w:p>
        </w:tc>
      </w:tr>
      <w:tr>
        <w:tc>
          <w:tcPr/>
          <w:p>
            <w:pPr>
              <w:pStyle w:val="Compact"/>
            </w:pPr>
            <w:r>
              <w:t xml:space="preserve">Chaco</w:t>
            </w:r>
          </w:p>
        </w:tc>
        <w:tc>
          <w:tcPr/>
          <w:p>
            <w:pPr>
              <w:pStyle w:val="Compact"/>
            </w:pPr>
            <w:r>
              <w:t xml:space="preserve">sin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0.5105</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0.5140</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0.5096</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0.5564</w:t>
            </w:r>
          </w:p>
        </w:tc>
        <w:tc>
          <w:tcPr/>
          <w:p>
            <w:pPr>
              <w:pStyle w:val="Compact"/>
              <w:jc w:val="right"/>
            </w:pPr>
            <w:r>
              <w:t xml:space="preserve">+0.0128</w:t>
            </w:r>
          </w:p>
        </w:tc>
      </w:tr>
      <w:tr>
        <w:tc>
          <w:tcPr/>
          <w:p>
            <w:pPr>
              <w:pStyle w:val="Compact"/>
            </w:pPr>
            <w:r>
              <w:t xml:space="preserve">Oriental</w:t>
            </w:r>
          </w:p>
        </w:tc>
        <w:tc>
          <w:tcPr/>
          <w:p>
            <w:pPr>
              <w:pStyle w:val="Compact"/>
            </w:pPr>
            <w:r>
              <w:t xml:space="preserve">sin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0.5457</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0.5444</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0.5342</w:t>
            </w:r>
          </w:p>
        </w:tc>
        <w:tc>
          <w:tcPr/>
          <w:p>
            <w:pPr>
              <w:pStyle w:val="Compact"/>
              <w:jc w:val="right"/>
            </w:pPr>
            <w:r>
              <w:t xml:space="preserve">+0.0131</w:t>
            </w:r>
          </w:p>
        </w:tc>
      </w:tr>
    </w:tbl>
    <w:p>
      <w:pPr>
        <w:pStyle w:val="BodyText"/>
      </w:pPr>
      <w:r>
        <w:rPr>
          <w:b/>
          <w:bCs/>
        </w:rPr>
        <w:t xml:space="preserve">Tabla S32.</w:t>
      </w:r>
      <w:r>
        <w:t xml:space="preserve"> </w:t>
      </w:r>
      <w:r>
        <w:t xml:space="preserve">Control negativo y permutation importance. El control negativo reentrena M3 con etiquetas de entrenamiento permutadas; el AUC debería ser ~0.5. La importancia es el ΔROC medio al permutar cada variable o familia en el test (tres repeticiones). El AUC del control sigue por encima de 0.5 en el Chaco, por lo que el score no debe leerse causalmente; las variables históricas dominan en el Chaco, mientras que la información estática de celda y el solapamiento train/test son fuentes adicionales. La Figura S7 muestra el ranking individual.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Setting</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CaptionedFigure"/>
      </w:pPr>
      <w:r>
        <w:drawing>
          <wp:inline>
            <wp:extent cx="5067300" cy="2275938"/>
            <wp:effectExtent b="0" l="0" r="0" t="0"/>
            <wp:docPr descr="Figura S7. Importancia por permutación de las variables de M3 en el test retrospectivo (ΔROC medio tras permutar, tres repeticiones), por región." title="" id="47" name="Picture"/>
            <a:graphic>
              <a:graphicData uri="http://schemas.openxmlformats.org/drawingml/2006/picture">
                <pic:pic>
                  <pic:nvPicPr>
                    <pic:cNvPr descr="../../entregables/figuras/supp_fig07_permutation_importance.png" id="48" name="Picture"/>
                    <pic:cNvPicPr>
                      <a:picLocks noChangeArrowheads="1" noChangeAspect="1"/>
                    </pic:cNvPicPr>
                  </pic:nvPicPr>
                  <pic:blipFill>
                    <a:blip r:embed="rId46"/>
                    <a:stretch>
                      <a:fillRect/>
                    </a:stretch>
                  </pic:blipFill>
                  <pic:spPr bwMode="auto">
                    <a:xfrm>
                      <a:off x="0" y="0"/>
                      <a:ext cx="5067300" cy="2275938"/>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Importancia por permutación de las variables de M3 en el test retrospectivo (ΔROC medio tras permutar, tres repeticiones), por región.</w:t>
      </w:r>
    </w:p>
    <w:bookmarkEnd w:id="49"/>
    <w:bookmarkEnd w:id="50"/>
    <w:bookmarkStart w:id="51"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v2.0.1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51"/>
    <w:bookmarkStart w:id="52"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52"/>
    <w:bookmarkStart w:id="67" w:name="referencias"/>
    <w:p>
      <w:pPr>
        <w:pStyle w:val="Heading1"/>
      </w:pPr>
      <w:r>
        <w:t xml:space="preserve">Referencias</w:t>
      </w:r>
    </w:p>
    <w:bookmarkStart w:id="66" w:name="refs"/>
    <w:bookmarkStart w:id="53"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53"/>
    <w:bookmarkStart w:id="55"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54">
        <w:r>
          <w:rPr>
            <w:rStyle w:val="Hyperlink"/>
          </w:rPr>
          <w:t xml:space="preserve">https://chaco.mapbiomas.org/</w:t>
        </w:r>
      </w:hyperlink>
      <w:r>
        <w:t xml:space="preserve">.</w:t>
      </w:r>
    </w:p>
    <w:bookmarkEnd w:id="55"/>
    <w:bookmarkStart w:id="57"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56">
        <w:r>
          <w:rPr>
            <w:rStyle w:val="Hyperlink"/>
          </w:rPr>
          <w:t xml:space="preserve">https://doi.org/10.5194/essd-13-4349-2021</w:t>
        </w:r>
      </w:hyperlink>
    </w:p>
    <w:bookmarkEnd w:id="57"/>
    <w:bookmarkStart w:id="59"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58">
        <w:r>
          <w:rPr>
            <w:rStyle w:val="Hyperlink"/>
          </w:rPr>
          <w:t xml:space="preserve">https://firms.modaps.eosdis.nasa.gov/</w:t>
        </w:r>
      </w:hyperlink>
      <w:r>
        <w:t xml:space="preserve">.</w:t>
      </w:r>
    </w:p>
    <w:bookmarkEnd w:id="59"/>
    <w:bookmarkStart w:id="60"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60"/>
    <w:bookmarkStart w:id="62"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61">
        <w:r>
          <w:rPr>
            <w:rStyle w:val="Hyperlink"/>
          </w:rPr>
          <w:t xml:space="preserve">https://doi.org/10.1016/j.rse.2013.12.008</w:t>
        </w:r>
      </w:hyperlink>
    </w:p>
    <w:bookmarkEnd w:id="62"/>
    <w:bookmarkStart w:id="64"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63">
        <w:r>
          <w:rPr>
            <w:rStyle w:val="Hyperlink"/>
          </w:rPr>
          <w:t xml:space="preserve">http://queimadas.dgi.inpe.br</w:t>
        </w:r>
      </w:hyperlink>
    </w:p>
    <w:bookmarkEnd w:id="64"/>
    <w:bookmarkStart w:id="65"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0" Target="media/rId40.png" /><Relationship Type="http://schemas.openxmlformats.org/officeDocument/2006/relationships/hyperlink" Id="rId63" Target="http://queimadas.dgi.inpe.br" TargetMode="External" /><Relationship Type="http://schemas.openxmlformats.org/officeDocument/2006/relationships/hyperlink" Id="rId54" Target="https://chaco.mapbiomas.org/" TargetMode="External" /><Relationship Type="http://schemas.openxmlformats.org/officeDocument/2006/relationships/hyperlink" Id="rId61" Target="https://doi.org/10.1016/j.rse.2013.12.008" TargetMode="External" /><Relationship Type="http://schemas.openxmlformats.org/officeDocument/2006/relationships/hyperlink" Id="rId56"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58"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63" Target="http://queimadas.dgi.inpe.br" TargetMode="External" /><Relationship Type="http://schemas.openxmlformats.org/officeDocument/2006/relationships/hyperlink" Id="rId54" Target="https://chaco.mapbiomas.org/" TargetMode="External" /><Relationship Type="http://schemas.openxmlformats.org/officeDocument/2006/relationships/hyperlink" Id="rId61" Target="https://doi.org/10.1016/j.rse.2013.12.008" TargetMode="External" /><Relationship Type="http://schemas.openxmlformats.org/officeDocument/2006/relationships/hyperlink" Id="rId56"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58"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2026-10-28T21:30:42Z</dcterms:created>
  <dcterms:modified xsi:type="dcterms:W3CDTF">2026-10-28T21:30:42Z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