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material_suplementario.pdf</w:t>
      </w:r>
      <w:r>
        <w:t xml:space="preserve"> </w:t>
      </w:r>
      <w:r>
        <w:t xml:space="preserve">— Notes S1–S3, Tables S1–S19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v2.0.0).</w:t>
      </w:r>
      <w:r>
        <w:br/>
      </w:r>
      <w:r>
        <w:rPr>
          <w:b/>
          <w:bCs/>
        </w:rPr>
        <w:t xml:space="preserve">Data:</w:t>
      </w:r>
      <w:r>
        <w:t xml:space="preserve"> </w:t>
      </w:r>
      <w:r>
        <w:t xml:space="preserve">processed data and test predictions are available in the v2.0.0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S1–S19:</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SHAP, cost-loss and data audit.</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 (retrospective 2024–2025 test).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460274"/>
            <wp:effectExtent b="0" l="0" r="0" t="0"/>
            <wp:docPr descr="Figure S2. Controlled ablation under the D2 test. The figure complements Table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2454"/>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8252460" cy="329245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bookmarkEnd w:id="24"/>
    <w:bookmarkStart w:id="25" w:name="data-availability"/>
    <w:p>
      <w:pPr>
        <w:pStyle w:val="Heading1"/>
      </w:pPr>
      <w:r>
        <w:t xml:space="preserve">Data availability</w:t>
      </w:r>
    </w:p>
    <w:p>
      <w:pPr>
        <w:pStyle w:val="FirstParagraph"/>
      </w:pPr>
      <w:r>
        <w:t xml:space="preserve">Processed data, test predictions, trained models and derived tables are available in the v2.0.0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2026-10-28T01:51:51Z</dcterms:created>
  <dcterms:modified xsi:type="dcterms:W3CDTF">2026-10-28T01:51:51Z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