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2026-10-28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M2/M3,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M3/M2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 / Corresponding author: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Dirección postal / Postal address:</w:t>
      </w:r>
      <w:r>
        <w:t xml:space="preserve"> </w:t>
      </w:r>
      <w:r>
        <w:t xml:space="preserve">Asunción, Paraguay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Teléfono / Telephone:</w:t>
      </w:r>
      <w:r>
        <w:t xml:space="preserve"> </w:t>
      </w:r>
      <w:r>
        <w:t xml:space="preserve">+595 971 907 727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formally separates primary ignition from tactical fire spread.</w:t>
      </w:r>
      <w:r>
        <w:t xml:space="preserve"> </w:t>
      </w:r>
      <w:r>
        <w:t xml:space="preserve">(61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Gated M3/M2 inference links calibration, spatial blocks and cost-loss.</w:t>
      </w:r>
      <w:r>
        <w:t xml:space="preserve"> </w:t>
      </w:r>
      <w:r>
        <w:t xml:space="preserve">(69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M3 outperforms full Canadian FWI and INPE under the same retrospective D2 test.</w:t>
      </w:r>
      <w:r>
        <w:t xml:space="preserve"> </w:t>
      </w:r>
      <w:r>
        <w:t xml:space="preserve">(71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block holdout shows where the hybrid model does not transfer.</w:t>
      </w:r>
      <w:r>
        <w:t xml:space="preserve"> </w:t>
      </w:r>
      <w:r>
        <w:t xml:space="preserve">(70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National inference runs in 3.47 s and 2.21 GB peak RAM on ARM64.</w:t>
      </w:r>
      <w:r>
        <w:t xml:space="preserve"> </w:t>
      </w:r>
      <w:r>
        <w:t xml:space="preserve">(62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699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graphical_abstrac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M3/M2 inference, causal t-1 propagation and a retrospective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de incendios con aprendizaje automático sufre a menudo fugas espaciales y una transferibilidad limitada de los índices boreales a biomas subtropicales. Presentamos D2, un operador de objetivos computacional que separa formalmente la ignición primaria de la propagación táctica, y un marco de inferencia con gating y evaluación que hace explícitos la construcción del objetivo, el control de fuga y la comparación de modelos. D2 define la ignición como fuego en el día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sin fuego a menos de 25 km en el día</w:t>
      </w:r>
      <w:r>
        <w:t xml:space="preserve"> </w:t>
      </w:r>
      <w:r>
        <w:rPr>
          <w:i/>
          <w:iCs/>
        </w:rPr>
        <w:t xml:space="preserve">t</w:t>
      </w:r>
      <w:r>
        <w:t xml:space="preserve">−1 y sin fuego en la misma celda en los 10 días previos; la propagación se evalúa a menos de 25 km de un fuego del día</w:t>
      </w:r>
      <w:r>
        <w:t xml:space="preserve"> </w:t>
      </w:r>
      <w:r>
        <w:rPr>
          <w:i/>
          <w:iCs/>
        </w:rPr>
        <w:t xml:space="preserve">t</w:t>
      </w:r>
      <w:r>
        <w:t xml:space="preserve">−1. Un gate biofísico elimina celdas-día no combustibles y húmedas. Un modelo híbrido LightGBM (M3) predice ignición sin insumos de fuego del día</w:t>
      </w:r>
      <w:r>
        <w:t xml:space="preserve"> </w:t>
      </w:r>
      <w:r>
        <w:rPr>
          <w:i/>
          <w:iCs/>
        </w:rPr>
        <w:t xml:space="preserve">t</w:t>
      </w:r>
      <w:r>
        <w:t xml:space="preserve">−1, con M2 como fallback para celdas sin historia y M1 como baseline biofísico. En validación 2023, M3 alcanza ROC-AUC 0.7844/0.7628 (Chaco/Oriental) frente a 0.7817/0.7496 de M2. En bloques espaciales de desarrollo 2023, M2 es el más robusto (0.6773/0.7470) y M1 no supera a M2 en celdas sin historia. Un holdout independiente de confirmación retuvo a M2 como el mejor modelo espacial (0.6871/0.6621). En el test retrospectivo 2024–2025, M3 alcanza 0.8021/0.7534 frente a 0.5173/0.5564 del Canadian Forest Fire Weather Index (FWI) y 0.5389/0.4990 del INPE Risco de Fogo; la propagación alcanza 0.9039/0.7859. La precisión poblacional de ignición es 0.082 %/0.198 %, lo que confirma que el sistema es una herramienta de nowcast y priorización, no un sistema de alerta autónomo. La contribución computacional reside en el operador D2, la política de inferencia con gating y el arnés de evaluación abierto, publicado como software reproducible.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the limited transferability of boreal fire-weather indices to subtropical biomes. We introduce D2, a computational target operator that formally separates primary ignition from tactical propagation, and a gated inference and evaluation framework that makes target construction, leakage control and model comparison explicit. D2 defines ignition as fire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with no fire within 25 km on day</w:t>
      </w:r>
      <w:r>
        <w:t xml:space="preserve"> </w:t>
      </w:r>
      <w:r>
        <w:rPr>
          <w:i/>
          <w:iCs/>
        </w:rPr>
        <w:t xml:space="preserve">t</w:t>
      </w:r>
      <w:r>
        <w:t xml:space="preserve">−1 and no same-cell fire in the previous 10 days; propagation is evaluated within 25 km of a day</w:t>
      </w:r>
      <w:r>
        <w:t xml:space="preserve"> </w:t>
      </w:r>
      <w:r>
        <w:rPr>
          <w:i/>
          <w:iCs/>
        </w:rPr>
        <w:t xml:space="preserve">t</w:t>
      </w:r>
      <w:r>
        <w:t xml:space="preserve">−1 fire. A biophysical gate removes non-combustible and wet cell-days. A hybrid LightGBM model (M3) predicts ignition without day</w:t>
      </w:r>
      <w:r>
        <w:t xml:space="preserve"> </w:t>
      </w:r>
      <w:r>
        <w:rPr>
          <w:i/>
          <w:iCs/>
        </w:rPr>
        <w:t xml:space="preserve">t</w:t>
      </w:r>
      <w:r>
        <w:t xml:space="preserve">−1 fire inputs, using M2 as a fallback for cells without history and M1 as a biophysical baseline. On 2023 validation, M3 reaches ROC-AUC 0.7844/0.7628 (Chaco/Oriental) versus 0.7817/0.7496 for M2. In 2023 development spatial blocks, M2 is the most robust model (0.6773/0.7470), and M1 does not outperform M2 on cells without history. An independent confirmation holdout retained M2 as the best spatial model (0.6871/0.6621). On the retrospective 2024–2025 test, M3 reaches 0.8021/0.7534 versus 0.5173/0.5564 for the Canadian Forest Fire Weather Index (FWI) and 0.5389/0.4990 for the INPE Risco de Fogo; propagation reaches 0.9039/0.7859. Population-level ignition precision is 0.082 %/0.198 %, confirming that the system is a nowcasting and prioritization tool rather than a stand-alone warning system. The computational contribution lies in the D2 operator, the gated inference policy and the open evaluation harness released as reproducible software.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2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3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Versión del release:</w:t>
      </w:r>
      <w:r>
        <w:t xml:space="preserve"> </w:t>
      </w:r>
      <w:r>
        <w:t xml:space="preserve">2.0.1 (2026-10-28)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del Código:</w:t>
      </w:r>
      <w:r>
        <w:t xml:space="preserve"> </w:t>
      </w:r>
      <w:hyperlink r:id="rId21">
        <w:r>
          <w:rPr>
            <w:rStyle w:val="Hyperlink"/>
          </w:rPr>
          <w:t xml:space="preserve">10.5281/zenodo.23675104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 los Datos:</w:t>
      </w:r>
      <w:r>
        <w:t xml:space="preserve"> </w:t>
      </w:r>
      <w:hyperlink r:id="rId22">
        <w:r>
          <w:rPr>
            <w:rStyle w:val="Hyperlink"/>
          </w:rPr>
          <w:t xml:space="preserve">10.5281/zenodo.23675278</w:t>
        </w:r>
      </w:hyperlink>
    </w:p>
    <w:bookmarkEnd w:id="23"/>
    <w:bookmarkStart w:id="28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4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5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usan mapas anuales de MapBiomas Colección 2 (2017–2023), unidos por año previo.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Pérdida de cobertura arbórea:</w:t>
      </w:r>
      <w:r>
        <w:t xml:space="preserve"> </w:t>
      </w:r>
      <w:r>
        <w:t xml:space="preserve">Hansen Global Forest Change GFC-2025 v1.13 (</w:t>
      </w:r>
      <w:hyperlink r:id="rId26">
        <w:r>
          <w:rPr>
            <w:rStyle w:val="Hyperlink"/>
          </w:rPr>
          <w:t xml:space="preserve">earthenginepartners.appspot.com</w:t>
        </w:r>
      </w:hyperlink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7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y están disponibles en el release v2.0.1 de GitHub bajo licencia CC BY 4.0, además del DOI conceptual de datos (</w:t>
      </w:r>
      <w:hyperlink r:id="rId22">
        <w:r>
          <w:rPr>
            <w:rStyle w:val="Hyperlink"/>
          </w:rPr>
          <w:t xml:space="preserve">10.5281/zenodo.23675278</w:t>
        </w:r>
      </w:hyperlink>
      <w:r>
        <w:t xml:space="preserve">).</w:t>
      </w:r>
    </w:p>
    <w:bookmarkEnd w:id="28"/>
    <w:bookmarkStart w:id="29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9"/>
    <w:bookmarkStart w:id="30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0"/>
    <w:bookmarkStart w:id="31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dc:language>es</dc:language>
  <cp:keywords/>
  <dcterms:created xsi:type="dcterms:W3CDTF">2026-10-28T15:33:37Z</dcterms:created>
  <dcterms:modified xsi:type="dcterms:W3CDTF">2026-10-28T15:33:37Z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date-modified">
    <vt:lpwstr>2026-10-28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