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66.png" ContentType="image/png"/>
  <Override PartName="/word/media/rId60.png" ContentType="image/png"/>
  <Override PartName="/word/media/rId5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sustentado en interacciones meteorológicas no lineales, cobertura MapBiomas (30 m), gradientes de ecotono y priors de susceptibilidad espacial histórica sin fuga temporal, gobernado por restricciones monótonas biofísicas;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holgadamente al Canadian FWI (ROC-AUC 0,831 vs. 0,543 en Chaco; 0,711 vs. 0,389 en Oriental) y al INPE Risco de Fogo (0,646 y 0,399), mientras que la capa de propagación alcanza un ROC-AUC de 0,849 y una precisión operativa del 90,16 %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on non-linear meteorological-fuel interactions, ecotone edge gradients, and leakage-free historical spatial susceptibility priors under physics-guided monotonic constraints;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0.831 vs. 0.543 in Chaco; 0.711 vs. 0.389 in Oriental) and INPE’s Risco de Fogo (0.646 and 0.399), while the tactical propagation model achieves a ROC-AUC of 0.849 and 90.16%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5c2edce0d25de16bceded4e02fc5d5e8cb28461"/>
    <w:p>
      <w:pPr>
        <w:pStyle w:val="Heading1"/>
      </w:pPr>
      <w:r>
        <w:t xml:space="preserve">4. 4. Protocolo Experimental Decenal y Benchmarking Internacional</w:t>
      </w:r>
    </w:p>
    <w:bookmarkStart w:id="42"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3"/>
    <w:bookmarkStart w:id="44"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 </w:t>
            </w:r>
            <w:r>
              <w:t xml:space="preserve">(bajo punto de corte operativo de alta precisión</w:t>
            </w:r>
            <w:r>
              <w:t xml:space="preserve"> </w:t>
            </w:r>
            <m:oMath>
              <m:sSub>
                <m:e>
                  <m:r>
                    <m:t>F</m:t>
                  </m:r>
                </m:e>
                <m:sub>
                  <m:r>
                    <m:t>0.5</m:t>
                  </m:r>
                </m:sub>
              </m:sSub>
            </m:oMath>
            <w:r>
              <w:t xml:space="preserve">; bajo criterio Youden</w:t>
            </w:r>
            <w:r>
              <w:t xml:space="preserve"> </w:t>
            </w:r>
            <m:oMath>
              <m:r>
                <m:t>J</m:t>
              </m:r>
            </m:oMath>
            <w:r>
              <w:t xml:space="preserve">, la sensibilidad de ignición asciende a</w:t>
            </w:r>
            <w:r>
              <w:t xml:space="preserve"> </w:t>
            </w:r>
            <m:oMath>
              <m:r>
                <m:t>75</m:t>
              </m:r>
              <m:r>
                <m:rPr>
                  <m:sty m:val="p"/>
                </m:rPr>
                <m:t>,</m:t>
              </m:r>
              <m:r>
                <m:t>9</m:t>
              </m:r>
              <m:r>
                <m:rPr>
                  <m:nor/>
                  <m:sty m:val="p"/>
                </m:rPr>
                <m:t> %</m:t>
              </m:r>
            </m:oMath>
            <w:r>
              <w:t xml:space="preserve"> </w:t>
            </w:r>
            <w:r>
              <w:t xml:space="preserve">en Chaco y</w:t>
            </w:r>
            <w:r>
              <w:t xml:space="preserve"> </w:t>
            </w:r>
            <m:oMath>
              <m:r>
                <m:t>72</m:t>
              </m:r>
              <m:r>
                <m:rPr>
                  <m:sty m:val="p"/>
                </m:rPr>
                <m:t>,</m:t>
              </m:r>
              <m:r>
                <m:t>5</m:t>
              </m:r>
              <m:r>
                <m:rPr>
                  <m:nor/>
                  <m:sty m:val="p"/>
                </m:rPr>
                <m:t> %</m:t>
              </m:r>
            </m:oMath>
            <w:r>
              <w:t xml:space="preserve"> </w:t>
            </w:r>
            <w:r>
              <w:t xml:space="preserve">en Oriental).</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60</m:t>
                    </m:r>
                    <m:r>
                      <m:rPr>
                        <m:sty m:val="b"/>
                      </m:rPr>
                      <m:t>,</m:t>
                    </m:r>
                    <m:r>
                      <m:rPr>
                        <m:sty m:val="b"/>
                      </m:rPr>
                      <m:t>51</m:t>
                    </m:r>
                    <m:r>
                      <m:rPr>
                        <m:nor/>
                        <m:sty m:val="p"/>
                      </m:rPr>
                      <m:t> %</m:t>
                    </m:r>
                  </m:oMath>
                  <w:r>
                    <w:t xml:space="preserve">​</w:t>
                  </w:r>
                </w:p>
              </w:tc>
              <w:tc>
                <w:tcPr/>
                <w:p>
                  <w:pPr>
                    <w:pStyle w:val="Compact"/>
                    <w:jc w:val="center"/>
                    <w:jc w:val="center"/>
                  </w:pPr>
                  <m:oMath>
                    <m:r>
                      <m:rPr>
                        <m:sty m:val="b"/>
                      </m:rPr>
                      <m:t>57</m:t>
                    </m:r>
                    <m:r>
                      <m:rPr>
                        <m:sty m:val="b"/>
                      </m:rPr>
                      <m:t>,</m:t>
                    </m:r>
                    <m:r>
                      <m:rPr>
                        <m:sty m:val="b"/>
                      </m:rPr>
                      <m:t>23</m:t>
                    </m:r>
                    <m:r>
                      <m:rPr>
                        <m:nor/>
                        <m:sty m:val="p"/>
                      </m:rPr>
                      <m:t> %</m:t>
                    </m:r>
                  </m:oMath>
                  <w:r>
                    <w:t xml:space="preserve">​</w:t>
                  </w:r>
                </w:p>
              </w:tc>
              <w:tc>
                <w:tcPr/>
                <w:p>
                  <w:pPr>
                    <w:pStyle w:val="Compact"/>
                    <w:jc w:val="center"/>
                    <w:jc w:val="center"/>
                  </w:pPr>
                  <m:oMath>
                    <m:r>
                      <m:rPr>
                        <m:sty m:val="b"/>
                      </m:rPr>
                      <m:t>0</m:t>
                    </m:r>
                    <m:r>
                      <m:rPr>
                        <m:sty m:val="b"/>
                      </m:rPr>
                      <m:t>,</m:t>
                    </m:r>
                    <m:r>
                      <m:rPr>
                        <m:sty m:val="b"/>
                      </m:rPr>
                      <m:t>0517</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90</m:t>
                    </m:r>
                    <m:r>
                      <m:rPr>
                        <m:sty m:val="b"/>
                      </m:rPr>
                      <m:t>,</m:t>
                    </m:r>
                    <m:r>
                      <m:rPr>
                        <m:sty m:val="b"/>
                      </m:rPr>
                      <m:t>16</m:t>
                    </m:r>
                    <m:r>
                      <m:rPr>
                        <m:nor/>
                        <m:sty m:val="p"/>
                      </m:rPr>
                      <m:t> %</m:t>
                    </m:r>
                  </m:oMath>
                  <w:r>
                    <w:t xml:space="preserve">​</w:t>
                  </w:r>
                </w:p>
              </w:tc>
              <w:tc>
                <w:tcPr/>
                <w:p>
                  <w:pPr>
                    <w:pStyle w:val="Compact"/>
                    <w:jc w:val="center"/>
                    <w:jc w:val="center"/>
                  </w:pPr>
                  <m:oMath>
                    <m:r>
                      <m:rPr>
                        <m:sty m:val="b"/>
                      </m:rPr>
                      <m:t>66</m:t>
                    </m:r>
                    <m:r>
                      <m:rPr>
                        <m:sty m:val="b"/>
                      </m:rPr>
                      <m:t>,</m:t>
                    </m:r>
                    <m:r>
                      <m:rPr>
                        <m:sty m:val="b"/>
                      </m:rPr>
                      <m:t>27</m:t>
                    </m:r>
                    <m:r>
                      <m:rPr>
                        <m:nor/>
                        <m:sty m:val="p"/>
                      </m:rPr>
                      <m:t> %</m:t>
                    </m:r>
                  </m:oMath>
                  <w:r>
                    <w:t xml:space="preserve">​</w:t>
                  </w:r>
                </w:p>
              </w:tc>
              <w:tc>
                <w:tcPr/>
                <w:p>
                  <w:pPr>
                    <w:pStyle w:val="Compact"/>
                    <w:jc w:val="center"/>
                    <w:jc w:val="center"/>
                  </w:pPr>
                  <m:oMath>
                    <m:r>
                      <m:rPr>
                        <m:sty m:val="b"/>
                      </m:rPr>
                      <m:t>0</m:t>
                    </m:r>
                    <m:r>
                      <m:rPr>
                        <m:sty m:val="b"/>
                      </m:rPr>
                      <m:t>,</m:t>
                    </m:r>
                    <m:r>
                      <m:rPr>
                        <m:sty m:val="b"/>
                      </m:rPr>
                      <m:t>0507</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31</m:t>
                    </m:r>
                    <m:r>
                      <m:rPr>
                        <m:sty m:val="b"/>
                      </m:rPr>
                      <m:t>,</m:t>
                    </m:r>
                    <m:r>
                      <m:rPr>
                        <m:sty m:val="b"/>
                      </m:rPr>
                      <m:t>67</m:t>
                    </m:r>
                    <m:r>
                      <m:rPr>
                        <m:nor/>
                        <m:sty m:val="p"/>
                      </m:rPr>
                      <m:t> %</m:t>
                    </m:r>
                  </m:oMath>
                  <w:r>
                    <w:t xml:space="preserve">​</w:t>
                  </w:r>
                </w:p>
              </w:tc>
              <w:tc>
                <w:tcPr/>
                <w:p>
                  <w:pPr>
                    <w:pStyle w:val="Compact"/>
                    <w:jc w:val="center"/>
                    <w:jc w:val="center"/>
                  </w:pPr>
                  <m:oMath>
                    <m:r>
                      <m:rPr>
                        <m:sty m:val="b"/>
                      </m:rPr>
                      <m:t>47</m:t>
                    </m:r>
                    <m:r>
                      <m:rPr>
                        <m:sty m:val="b"/>
                      </m:rPr>
                      <m:t>,</m:t>
                    </m:r>
                    <m:r>
                      <m:rPr>
                        <m:sty m:val="b"/>
                      </m:rPr>
                      <m:t>50</m:t>
                    </m:r>
                    <m:r>
                      <m:rPr>
                        <m:nor/>
                        <m:sty m:val="p"/>
                      </m:rPr>
                      <m:t> %</m:t>
                    </m:r>
                  </m:oMath>
                  <w:r>
                    <w:t xml:space="preserve">​</w:t>
                  </w:r>
                </w:p>
              </w:tc>
              <w:tc>
                <w:tcPr/>
                <w:p>
                  <w:pPr>
                    <w:pStyle w:val="Compact"/>
                    <w:jc w:val="center"/>
                    <w:jc w:val="center"/>
                  </w:pPr>
                  <m:oMath>
                    <m:r>
                      <m:rPr>
                        <m:sty m:val="b"/>
                      </m:rPr>
                      <m:t>0</m:t>
                    </m:r>
                    <m:r>
                      <m:rPr>
                        <m:sty m:val="b"/>
                      </m:rPr>
                      <m:t>,</m:t>
                    </m:r>
                    <m:r>
                      <m:rPr>
                        <m:sty m:val="b"/>
                      </m:rPr>
                      <m:t>0783</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6917</m:t>
                    </m:r>
                  </m:oMath>
                  <w:r>
                    <w:t xml:space="preserve">​</w:t>
                  </w:r>
                </w:p>
              </w:tc>
              <w:tc>
                <w:tcPr/>
                <w:p>
                  <w:pPr>
                    <w:pStyle w:val="Compact"/>
                    <w:jc w:val="center"/>
                    <w:jc w:val="center"/>
                  </w:pPr>
                  <m:oMath>
                    <m:r>
                      <m:rPr>
                        <m:sty m:val="b"/>
                      </m:rPr>
                      <m:t>0</m:t>
                    </m:r>
                    <m:r>
                      <m:rPr>
                        <m:sty m:val="b"/>
                      </m:rPr>
                      <m:t>,</m:t>
                    </m:r>
                    <m:r>
                      <m:rPr>
                        <m:sty m:val="b"/>
                      </m:rPr>
                      <m:t>3031</m:t>
                    </m:r>
                  </m:oMath>
                  <w:r>
                    <w:t xml:space="preserve">​</w:t>
                  </w:r>
                </w:p>
              </w:tc>
              <w:tc>
                <w:tcPr/>
                <w:p>
                  <w:pPr>
                    <w:pStyle w:val="Compact"/>
                    <w:jc w:val="center"/>
                    <w:jc w:val="center"/>
                  </w:pPr>
                  <m:oMath>
                    <m:r>
                      <m:rPr>
                        <m:sty m:val="b"/>
                      </m:rPr>
                      <m:t>50</m:t>
                    </m:r>
                    <m:r>
                      <m:rPr>
                        <m:sty m:val="b"/>
                      </m:rPr>
                      <m:t>,</m:t>
                    </m:r>
                    <m:r>
                      <m:rPr>
                        <m:sty m:val="b"/>
                      </m:rPr>
                      <m:t>00</m:t>
                    </m:r>
                    <m:r>
                      <m:rPr>
                        <m:nor/>
                        <m:sty m:val="p"/>
                      </m:rPr>
                      <m:t> %</m:t>
                    </m:r>
                  </m:oMath>
                  <w:r>
                    <w:t xml:space="preserve">​</w:t>
                  </w:r>
                </w:p>
              </w:tc>
              <w:tc>
                <w:tcPr/>
                <w:p>
                  <w:pPr>
                    <w:pStyle w:val="Compact"/>
                    <w:jc w:val="center"/>
                    <w:jc w:val="center"/>
                  </w:pPr>
                  <m:oMath>
                    <m:r>
                      <m:rPr>
                        <m:sty m:val="b"/>
                      </m:rPr>
                      <m:t>25</m:t>
                    </m:r>
                    <m:r>
                      <m:rPr>
                        <m:sty m:val="b"/>
                      </m:rPr>
                      <m:t>,</m:t>
                    </m:r>
                    <m:r>
                      <m:rPr>
                        <m:sty m:val="b"/>
                      </m:rPr>
                      <m:t>00</m:t>
                    </m:r>
                    <m:r>
                      <m:rPr>
                        <m:nor/>
                        <m:sty m:val="p"/>
                      </m:rPr>
                      <m:t> %</m:t>
                    </m:r>
                  </m:oMath>
                  <w:r>
                    <w:t xml:space="preserve">​</w:t>
                  </w:r>
                </w:p>
              </w:tc>
              <w:tc>
                <w:tcPr/>
                <w:p>
                  <w:pPr>
                    <w:pStyle w:val="Compact"/>
                    <w:jc w:val="center"/>
                    <w:jc w:val="center"/>
                  </w:pPr>
                  <m:oMath>
                    <m:r>
                      <m:rPr>
                        <m:sty m:val="b"/>
                      </m:rPr>
                      <m:t>0</m:t>
                    </m:r>
                    <m:r>
                      <m:rPr>
                        <m:sty m:val="b"/>
                      </m:rPr>
                      <m:t>,</m:t>
                    </m:r>
                    <m:r>
                      <m:rPr>
                        <m:sty m:val="b"/>
                      </m:rPr>
                      <m:t>0780</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sobresaliente: en el Chaco logra un ROC-AUC de</w:t>
      </w:r>
      <w:r>
        <w:t xml:space="preserve"> </w:t>
      </w:r>
      <m:oMath>
        <m:r>
          <m:t>0</m:t>
        </m:r>
        <m:r>
          <m:rPr>
            <m:sty m:val="p"/>
          </m:rPr>
          <m:t>,</m:t>
        </m:r>
        <m:r>
          <m:t>8494</m:t>
        </m:r>
      </m:oMath>
      <w:r>
        <w:t xml:space="preserve">, un PR-AUC de</w:t>
      </w:r>
      <w:r>
        <w:t xml:space="preserve"> </w:t>
      </w:r>
      <m:oMath>
        <m:r>
          <m:t>0</m:t>
        </m:r>
        <m:r>
          <m:rPr>
            <m:sty m:val="p"/>
          </m:rPr>
          <m:t>,</m:t>
        </m:r>
        <m:r>
          <m:t>7057</m:t>
        </m:r>
      </m:oMath>
      <w:r>
        <w:t xml:space="preserve"> </w:t>
      </w:r>
      <w:r>
        <w:t xml:space="preserve">y una precisión táctica del</w:t>
      </w:r>
      <w:r>
        <w:t xml:space="preserve"> </w:t>
      </w:r>
      <m:oMath>
        <m:r>
          <m:t>90</m:t>
        </m:r>
        <m:r>
          <m:rPr>
            <m:sty m:val="p"/>
          </m:rPr>
          <m:t>,</m:t>
        </m:r>
        <m:r>
          <m:t>16</m:t>
        </m:r>
        <m:r>
          <m:rPr>
            <m:nor/>
            <m:sty m:val="p"/>
          </m:rPr>
          <m:t> %</m:t>
        </m:r>
      </m:oMath>
      <w:r>
        <w:t xml:space="preserve">, cometiendo únicamente 12 falsos positivos en todo el conjunto de prueba de 1.826 celdas evaluadas. En la Región Oriental, la precisión táctica bajo corte optimizado asciende al</w:t>
      </w:r>
      <w:r>
        <w:t xml:space="preserve"> </w:t>
      </w:r>
      <m:oMath>
        <m:r>
          <m:t>50</m:t>
        </m:r>
        <m:r>
          <m:rPr>
            <m:sty m:val="p"/>
          </m:rPr>
          <m:t>,</m:t>
        </m:r>
        <m:r>
          <m:t>00</m:t>
        </m:r>
        <m:r>
          <m:rPr>
            <m:nor/>
            <m:sty m:val="p"/>
          </m:rPr>
          <m:t> %</m:t>
        </m:r>
      </m:oMath>
      <w:r>
        <w:t xml:space="preserve"> </w:t>
      </w:r>
      <w:r>
        <w:t xml:space="preserve">con apenas 10 falsos positivos.</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8305</m:t>
        </m:r>
      </m:oMath>
      <w:r>
        <w:t xml:space="preserve"> </w:t>
      </w:r>
      <w:r>
        <w:t xml:space="preserve">y un PR-AUC de</w:t>
      </w:r>
      <w:r>
        <w:t xml:space="preserve"> </w:t>
      </w:r>
      <m:oMath>
        <m:r>
          <m:t>0</m:t>
        </m:r>
        <m:r>
          <m:rPr>
            <m:sty m:val="p"/>
          </m:rPr>
          <m:t>,</m:t>
        </m:r>
        <m:r>
          <m:t>5714</m:t>
        </m:r>
      </m:oMath>
      <w:r>
        <w:t xml:space="preserve"> </w:t>
      </w:r>
      <w:r>
        <w:t xml:space="preserve">en el Chaco, y un ROC-AUC de</w:t>
      </w:r>
      <w:r>
        <w:t xml:space="preserve"> </w:t>
      </w:r>
      <m:oMath>
        <m:r>
          <m:t>0</m:t>
        </m:r>
        <m:r>
          <m:rPr>
            <m:sty m:val="p"/>
          </m:rPr>
          <m:t>,</m:t>
        </m:r>
        <m:r>
          <m:t>7106</m:t>
        </m:r>
      </m:oMath>
      <w:r>
        <w:t xml:space="preserve"> </w:t>
      </w:r>
      <w:r>
        <w:t xml:space="preserve">en la Región Oriental, prediciendo con notable exactitud dónde surgirán nuevos incendios aislados a partir de variables de estrés hídrico, combustible y susceptibilidad espacial histórica libre de fuga temporal.</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2860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58"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mismo conjunto de prueba ciego out-of-time (evaluado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m:t>
                    </m:r>
                    <m:r>
                      <m:rPr>
                        <m:sty m:val="b"/>
                      </m:rPr>
                      <m:t>82</m:t>
                    </m:r>
                    <m:r>
                      <m:rPr>
                        <m:sty m:val="b"/>
                      </m:rPr>
                      <m:t>,</m:t>
                    </m:r>
                    <m:r>
                      <m:rPr>
                        <m:sty m:val="b"/>
                      </m:rPr>
                      <m:t>6</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Incendios_PY (Propagación Táctica)</w:t>
                  </w:r>
                </w:p>
              </w:tc>
              <w:tc>
                <w:tcPr/>
                <w:p>
                  <w:pPr>
                    <w:pStyle w:val="Compact"/>
                    <w:jc w:val="center"/>
                    <w:jc w:val="center"/>
                  </w:pPr>
                  <m:oMath>
                    <m:r>
                      <m:t>0</m:t>
                    </m:r>
                    <m:r>
                      <m:rPr>
                        <m:sty m:val="p"/>
                      </m:rPr>
                      <m:t>,</m:t>
                    </m:r>
                    <m:r>
                      <m:t>6917</m:t>
                    </m:r>
                  </m:oMath>
                  <w:r>
                    <w:t xml:space="preserve">​</w:t>
                  </w:r>
                </w:p>
              </w:tc>
              <w:tc>
                <w:tcPr/>
                <w:p>
                  <w:pPr>
                    <w:pStyle w:val="Compact"/>
                    <w:jc w:val="center"/>
                    <w:jc w:val="center"/>
                  </w:pPr>
                  <m:oMath>
                    <m:r>
                      <m:t>0</m:t>
                    </m:r>
                    <m:r>
                      <m:rPr>
                        <m:sty m:val="p"/>
                      </m:rPr>
                      <m:t>,</m:t>
                    </m:r>
                    <m:r>
                      <m:t>3031</m:t>
                    </m:r>
                  </m:oMath>
                  <w:r>
                    <w:t xml:space="preserve">​</w:t>
                  </w:r>
                </w:p>
              </w:tc>
              <w:tc>
                <w:tcPr/>
                <w:p>
                  <w:pPr>
                    <w:pStyle w:val="Compact"/>
                    <w:jc w:val="center"/>
                    <w:jc w:val="center"/>
                  </w:pPr>
                  <m:oMath>
                    <m:r>
                      <m:rPr>
                        <m:sty m:val="p"/>
                      </m:rPr>
                      <m:t>+</m:t>
                    </m:r>
                    <m:r>
                      <m:t>77</m:t>
                    </m:r>
                    <m:r>
                      <m:rPr>
                        <m:sty m:val="p"/>
                      </m:rPr>
                      <m:t>,</m:t>
                    </m:r>
                    <m:r>
                      <m:t>7</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3995</m:t>
                    </m:r>
                  </m:oMath>
                  <w:r>
                    <w:t xml:space="preserve">​</w:t>
                  </w:r>
                </w:p>
              </w:tc>
              <w:tc>
                <w:tcPr/>
                <w:p>
                  <w:pPr>
                    <w:pStyle w:val="Compact"/>
                    <w:jc w:val="center"/>
                    <w:jc w:val="center"/>
                  </w:pPr>
                  <m:oMath>
                    <m:r>
                      <m:t>0</m:t>
                    </m:r>
                    <m:r>
                      <m:rPr>
                        <m:sty m:val="p"/>
                      </m:rPr>
                      <m:t>,</m:t>
                    </m:r>
                    <m:r>
                      <m:t>0703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3892</m:t>
                    </m:r>
                  </m:oMath>
                  <w:r>
                    <w:t xml:space="preserve">​</w:t>
                  </w:r>
                </w:p>
              </w:tc>
              <w:tc>
                <w:tcPr/>
                <w:p>
                  <w:pPr>
                    <w:pStyle w:val="Compact"/>
                    <w:jc w:val="center"/>
                    <w:jc w:val="center"/>
                  </w:pPr>
                  <m:oMath>
                    <m:r>
                      <m:t>0</m:t>
                    </m:r>
                    <m:r>
                      <m:rPr>
                        <m:sty m:val="p"/>
                      </m:rPr>
                      <m:t>,</m:t>
                    </m:r>
                    <m:r>
                      <m:t>0779</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m:t>
                    </m:r>
                    <m:r>
                      <m:rPr>
                        <m:sty m:val="b"/>
                      </m:rPr>
                      <m:t>56</m:t>
                    </m:r>
                    <m:r>
                      <m:rPr>
                        <m:sty m:val="b"/>
                      </m:rPr>
                      <m:t>,</m:t>
                    </m:r>
                    <m:r>
                      <m:rPr>
                        <m:sty m:val="b"/>
                      </m:rPr>
                      <m:t>4</m:t>
                    </m:r>
                    <m:r>
                      <m:rPr>
                        <m:nor/>
                        <m:sty m:val="p"/>
                      </m:rPr>
                      <m:t> %</m:t>
                    </m:r>
                  </m:oMath>
                  <w:r>
                    <w:t xml:space="preserve"> </w:t>
                  </w:r>
                  <w:r>
                    <w:t xml:space="preserve">sobre FWI</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m:t>
                    </m:r>
                    <m:r>
                      <m:rPr>
                        <m:sty m:val="b"/>
                      </m:rPr>
                      <m:t>52</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6457</m:t>
                    </m:r>
                  </m:oMath>
                  <w:r>
                    <w:t xml:space="preserve">​</w:t>
                  </w:r>
                </w:p>
              </w:tc>
              <w:tc>
                <w:tcPr/>
                <w:p>
                  <w:pPr>
                    <w:pStyle w:val="Compact"/>
                    <w:jc w:val="center"/>
                    <w:jc w:val="center"/>
                  </w:pPr>
                  <m:oMath>
                    <m:r>
                      <m:t>0</m:t>
                    </m:r>
                    <m:r>
                      <m:rPr>
                        <m:sty m:val="p"/>
                      </m:rPr>
                      <m:t>,</m:t>
                    </m:r>
                    <m:r>
                      <m:t>1314</m:t>
                    </m:r>
                  </m:oMath>
                  <w:r>
                    <w:t xml:space="preserve">​</w:t>
                  </w:r>
                </w:p>
              </w:tc>
              <w:tc>
                <w:tcPr/>
                <w:p>
                  <w:pPr>
                    <w:pStyle w:val="Compact"/>
                    <w:jc w:val="center"/>
                    <w:jc w:val="center"/>
                  </w:pPr>
                  <m:oMath>
                    <m:r>
                      <m:t>750</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5432</m:t>
                    </m:r>
                  </m:oMath>
                  <w:r>
                    <w:t xml:space="preserve">​</w:t>
                  </w:r>
                </w:p>
              </w:tc>
              <w:tc>
                <w:tcPr/>
                <w:p>
                  <w:pPr>
                    <w:pStyle w:val="Compact"/>
                    <w:jc w:val="center"/>
                    <w:jc w:val="center"/>
                  </w:pPr>
                  <m:oMath>
                    <m:r>
                      <m:t>0</m:t>
                    </m:r>
                    <m:r>
                      <m:rPr>
                        <m:sty m:val="p"/>
                      </m:rPr>
                      <m:t>,</m:t>
                    </m:r>
                    <m:r>
                      <m:t>0967</m:t>
                    </m:r>
                  </m:oMath>
                  <w:r>
                    <w:t xml:space="preserve">​</w:t>
                  </w:r>
                </w:p>
              </w:tc>
              <w:tc>
                <w:tcPr/>
                <w:p>
                  <w:pPr>
                    <w:pStyle w:val="Compact"/>
                    <w:jc w:val="center"/>
                    <w:jc w:val="center"/>
                  </w:pPr>
                  <m:oMath>
                    <m:r>
                      <m:t>1.026</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bl>
          <w:bookmarkEnd w:id="53"/>
          <w:p/>
        </w:tc>
      </w:tr>
    </w:tbl>
    <w:p>
      <w:pPr>
        <w:pStyle w:val="BodyText"/>
      </w:pPr>
      <w:r>
        <w:t xml:space="preserve">Como se observa en la</w:t>
      </w:r>
      <w:r>
        <w:t xml:space="preserve"> </w:t>
      </w:r>
      <w:hyperlink w:anchor="tbl-benchmark">
        <w:r>
          <w:rPr>
            <w:rStyle w:val="Hyperlink"/>
          </w:rPr>
          <w:t xml:space="preserve">Tabla 3</w:t>
        </w:r>
      </w:hyperlink>
      <w:r>
        <w:t xml:space="preserve"> </w:t>
      </w:r>
      <w:r>
        <w:t xml:space="preserve">y en la</w:t>
      </w:r>
      <w:r>
        <w:t xml:space="preserve"> </w:t>
      </w:r>
      <w:hyperlink w:anchor="fig-benchmark-curvas">
        <w:r>
          <w:rPr>
            <w:rStyle w:val="Hyperlink"/>
          </w:rPr>
          <w:t xml:space="preserve">Figura 4</w:t>
        </w:r>
      </w:hyperlink>
      <w:r>
        <w:t xml:space="preserve">, en la</w:t>
      </w:r>
      <w:r>
        <w:t xml:space="preserve"> </w:t>
      </w:r>
      <w:r>
        <w:rPr>
          <w:b/>
          <w:bCs/>
        </w:rPr>
        <w:t xml:space="preserve">Región Oriental</w:t>
      </w:r>
      <w:r>
        <w:t xml:space="preserve"> </w:t>
      </w:r>
      <w:r>
        <w:t xml:space="preserve">tanto el</w:t>
      </w:r>
      <w:r>
        <w:t xml:space="preserve"> </w:t>
      </w:r>
      <w:r>
        <w:rPr>
          <w:b/>
          <w:bCs/>
        </w:rPr>
        <w:t xml:space="preserve">Canadian FWI (ISI)</w:t>
      </w:r>
      <w:r>
        <w:t xml:space="preserve"> </w:t>
      </w:r>
      <w:r>
        <w:t xml:space="preserve">como el</w:t>
      </w:r>
      <w:r>
        <w:t xml:space="preserve"> </w:t>
      </w:r>
      <w:r>
        <w:rPr>
          <w:b/>
          <w:bCs/>
        </w:rPr>
        <w:t xml:space="preserve">Proxy Analítico INPE Risco de Fogo</w:t>
      </w:r>
      <w:r>
        <w:t xml:space="preserve"> </w:t>
      </w:r>
      <w:r>
        <w:t xml:space="preserve">colapsan a un ROC-AUC inferior a 0,50 (</w:t>
      </w:r>
      <m:oMath>
        <m:r>
          <m:t>0</m:t>
        </m:r>
        <m:r>
          <m:rPr>
            <m:sty m:val="p"/>
          </m:rPr>
          <m:t>,</m:t>
        </m:r>
        <m:r>
          <m:t>3892</m:t>
        </m:r>
      </m:oMath>
      <w:r>
        <w:t xml:space="preserve"> </w:t>
      </w:r>
      <w:r>
        <w:t xml:space="preserve">y</w:t>
      </w:r>
      <w:r>
        <w:t xml:space="preserve"> </w:t>
      </w:r>
      <m:oMath>
        <m:r>
          <m:t>0</m:t>
        </m:r>
        <m:r>
          <m:rPr>
            <m:sty m:val="p"/>
          </m:rPr>
          <m:t>,</m:t>
        </m:r>
        <m:r>
          <m:t>3995</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31 puntos de ROC-AUC en ignición pura. En el</w:t>
      </w:r>
      <w:r>
        <w:t xml:space="preserve"> </w:t>
      </w:r>
      <w:r>
        <w:rPr>
          <w:b/>
          <w:bCs/>
        </w:rPr>
        <w:t xml:space="preserve">Chaco semiárido</w:t>
      </w:r>
      <w:r>
        <w:t xml:space="preserve">, la capa de propagación táctica de</w:t>
      </w:r>
      <w:r>
        <w:t xml:space="preserve"> </w:t>
      </w:r>
      <w:r>
        <w:rPr>
          <w:rStyle w:val="VerbatimChar"/>
        </w:rPr>
        <w:t xml:space="preserve">Incendios_PY</w:t>
      </w:r>
      <w:r>
        <w:t xml:space="preserve"> </w:t>
      </w:r>
      <w:r>
        <w:t xml:space="preserve">alcanza un ROC-AUC de</w:t>
      </w:r>
      <w:r>
        <w:t xml:space="preserve"> </w:t>
      </w:r>
      <m:oMath>
        <m:r>
          <m:t>0</m:t>
        </m:r>
        <m:r>
          <m:rPr>
            <m:sty m:val="p"/>
          </m:rPr>
          <m:t>,</m:t>
        </m:r>
        <m:r>
          <m:t>8494</m:t>
        </m:r>
      </m:oMath>
      <w:r>
        <w:t xml:space="preserve"> </w:t>
      </w:r>
      <w:r>
        <w:t xml:space="preserve">y un PR-AUC de</w:t>
      </w:r>
      <w:r>
        <w:t xml:space="preserve"> </w:t>
      </w:r>
      <m:oMath>
        <m:r>
          <m:t>0</m:t>
        </m:r>
        <m:r>
          <m:rPr>
            <m:sty m:val="p"/>
          </m:rPr>
          <m:t>,</m:t>
        </m:r>
        <m:r>
          <m:t>7057</m:t>
        </m:r>
      </m:oMath>
      <w:r>
        <w:t xml:space="preserve">, y la capa de ignición física alcanza</w:t>
      </w:r>
      <w:r>
        <w:t xml:space="preserve"> </w:t>
      </w:r>
      <m:oMath>
        <m:r>
          <m:t>0</m:t>
        </m:r>
        <m:r>
          <m:rPr>
            <m:sty m:val="p"/>
          </m:rPr>
          <m:t>,</m:t>
        </m:r>
        <m:r>
          <m:t>8305</m:t>
        </m:r>
      </m:oMath>
      <w:r>
        <w:t xml:space="preserve"> </w:t>
      </w:r>
      <w:r>
        <w:t xml:space="preserve">y</w:t>
      </w:r>
      <w:r>
        <w:t xml:space="preserve"> </w:t>
      </w:r>
      <m:oMath>
        <m:r>
          <m:t>0</m:t>
        </m:r>
        <m:r>
          <m:rPr>
            <m:sty m:val="p"/>
          </m:rPr>
          <m:t>,</m:t>
        </m:r>
        <m:r>
          <m:t>5714</m:t>
        </m:r>
      </m:oMath>
      <w:r>
        <w:t xml:space="preserve">, superando con holgura al Canadian FWI (</w:t>
      </w:r>
      <m:oMath>
        <m:r>
          <m:t>0</m:t>
        </m:r>
        <m:r>
          <m:rPr>
            <m:sty m:val="p"/>
          </m:rPr>
          <m:t>,</m:t>
        </m:r>
        <m:r>
          <m:t>5432</m:t>
        </m:r>
      </m:oMath>
      <w:r>
        <w:t xml:space="preserve">) y al Proxy INPE (</w:t>
      </w:r>
      <m:oMath>
        <m:r>
          <m:t>0</m:t>
        </m:r>
        <m:r>
          <m:rPr>
            <m:sty m:val="p"/>
          </m:rPr>
          <m:t>,</m:t>
        </m:r>
        <m:r>
          <m:t>6457</m:t>
        </m:r>
      </m:oMath>
      <w:r>
        <w:t xml:space="preserve">), reduciendo las falsas alarmas de más de 750 a solo 12 falsos positivos en propagación y 62 en ignición.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End w:id="58"/>
    <w:bookmarkStart w:id="64"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59"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279</m:t>
                    </m:r>
                  </m:oMath>
                  <w:r>
                    <w:t xml:space="preserve">]</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397</m:t>
                    </m:r>
                  </m:oMath>
                  <w:r>
                    <w:t xml:space="preserve">]</w:t>
                  </w:r>
                </w:p>
              </w:tc>
            </w:tr>
            <w:tr>
              <w:tc>
                <w:tcPr/>
                <w:p>
                  <w:pPr>
                    <w:pStyle w:val="Compact"/>
                    <w:jc w:val="center"/>
                    <w:jc w:val="center"/>
                  </w:pPr>
                  <w:r>
                    <w:rPr>
                      <w:b/>
                      <w:bCs/>
                    </w:rPr>
                    <w:t xml:space="preserve">2</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125</m:t>
                    </m:r>
                  </m:oMath>
                  <w:r>
                    <w:t xml:space="preserve">]</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143</m:t>
                    </m:r>
                  </m:oMath>
                  <w:r>
                    <w:t xml:space="preserve">]</w:t>
                  </w:r>
                </w:p>
              </w:tc>
            </w:tr>
            <w:tr>
              <w:tc>
                <w:tcPr/>
                <w:p>
                  <w:pPr>
                    <w:pStyle w:val="Compact"/>
                    <w:jc w:val="center"/>
                    <w:jc w:val="center"/>
                  </w:pPr>
                  <w:r>
                    <w:rPr>
                      <w:b/>
                      <w:bCs/>
                    </w:rPr>
                    <w:t xml:space="preserve">3</w:t>
                  </w:r>
                </w:p>
              </w:tc>
              <w:tc>
                <w:tcPr/>
                <w:p>
                  <w:pPr>
                    <w:pStyle w:val="Compact"/>
                    <w:jc w:val="left"/>
                    <w:jc w:val="center"/>
                  </w:pPr>
                  <w:r>
                    <w:t xml:space="preserve">Presión Dinámica del Viento (</w:t>
                  </w:r>
                  <m:oMath>
                    <m:sSup>
                      <m:e>
                        <m:r>
                          <m:t>v</m:t>
                        </m:r>
                      </m:e>
                      <m:sup>
                        <m:r>
                          <m:t>2</m:t>
                        </m:r>
                      </m:sup>
                    </m:sSup>
                  </m:oMath>
                  <w:r>
                    <w:t xml:space="preserve">) [</w:t>
                  </w:r>
                  <m:oMath>
                    <m:r>
                      <m:t>0</m:t>
                    </m:r>
                    <m:r>
                      <m:rPr>
                        <m:sty m:val="p"/>
                      </m:rPr>
                      <m:t>,</m:t>
                    </m:r>
                    <m:r>
                      <m:t>024</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021</m:t>
                    </m:r>
                  </m:oMath>
                  <w:r>
                    <w:t xml:space="preserve">]</w:t>
                  </w:r>
                </w:p>
              </w:tc>
            </w:tr>
            <w:tr>
              <w:tc>
                <w:tcPr/>
                <w:p>
                  <w:pPr>
                    <w:pStyle w:val="Compact"/>
                    <w:jc w:val="center"/>
                    <w:jc w:val="center"/>
                  </w:pPr>
                  <w:r>
                    <w:rPr>
                      <w:b/>
                      <w:bCs/>
                    </w:rPr>
                    <w:t xml:space="preserve">4</w:t>
                  </w:r>
                </w:p>
              </w:tc>
              <w:tc>
                <w:tcPr/>
                <w:p>
                  <w:pPr>
                    <w:pStyle w:val="Compact"/>
                    <w:jc w:val="left"/>
                    <w:jc w:val="center"/>
                  </w:pPr>
                  <w:r>
                    <w:t xml:space="preserve">Temperatura Mínima (</w:t>
                  </w:r>
                  <m:oMath>
                    <m:sSub>
                      <m:e>
                        <m:r>
                          <m:t>T</m:t>
                        </m:r>
                      </m:e>
                      <m:sub>
                        <m:r>
                          <m:rPr>
                            <m:nor/>
                            <m:sty m:val="p"/>
                          </m:rPr>
                          <m:t>min</m:t>
                        </m:r>
                      </m:sub>
                    </m:sSub>
                  </m:oMath>
                  <w:r>
                    <w:t xml:space="preserve">) [</w:t>
                  </w:r>
                  <m:oMath>
                    <m:r>
                      <m:t>0</m:t>
                    </m:r>
                    <m:r>
                      <m:rPr>
                        <m:sty m:val="p"/>
                      </m:rPr>
                      <m:t>,</m:t>
                    </m:r>
                    <m:r>
                      <m:t>004</m:t>
                    </m:r>
                  </m:oMath>
                  <w:r>
                    <w:t xml:space="preserve">]</w:t>
                  </w:r>
                </w:p>
              </w:tc>
              <w:tc>
                <w:tcPr/>
                <w:p>
                  <w:pPr>
                    <w:pStyle w:val="Compact"/>
                    <w:jc w:val="left"/>
                    <w:jc w:val="center"/>
                  </w:pPr>
                  <w:r>
                    <w:t xml:space="preserve">Temperatura Máxima (</w:t>
                  </w:r>
                  <m:oMath>
                    <m:sSub>
                      <m:e>
                        <m:r>
                          <m:t>T</m:t>
                        </m:r>
                      </m:e>
                      <m:sub>
                        <m:r>
                          <m:rPr>
                            <m:nor/>
                            <m:sty m:val="p"/>
                          </m:rPr>
                          <m:t>max</m:t>
                        </m:r>
                      </m:sub>
                    </m:sSub>
                  </m:oMath>
                  <w:r>
                    <w:t xml:space="preserve">) [</w:t>
                  </w:r>
                  <m:oMath>
                    <m:r>
                      <m:t>0</m:t>
                    </m:r>
                    <m:r>
                      <m:rPr>
                        <m:sty m:val="p"/>
                      </m:rPr>
                      <m:t>,</m:t>
                    </m:r>
                    <m:r>
                      <m:t>014</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003</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010</m:t>
                    </m:r>
                  </m:oMath>
                  <w:r>
                    <w:t xml:space="preserve">]</w:t>
                  </w:r>
                </w:p>
              </w:tc>
            </w:tr>
          </w:tbl>
          <w:bookmarkEnd w:id="59"/>
          <w:p/>
        </w:tc>
      </w:tr>
    </w:tbl>
    <w:p>
      <w:pPr>
        <w:pStyle w:val="BodyText"/>
      </w:pPr>
      <w:r>
        <w:t xml:space="preserve">En ambas macro-regiones, la incorporación del prior de susceptibilidad espacial histórica (distancia y densidad kernel calculadas rigurosamente sobre el conjunto de entrenamiento sin fuga temporal) actúa como ancla geográfica fundamental (</w:t>
      </w:r>
      <m:oMath>
        <m:r>
          <m:rPr>
            <m:sty m:val="p"/>
          </m:rPr>
          <m:t>|</m:t>
        </m:r>
        <m:r>
          <m:rPr>
            <m:nor/>
            <m:sty m:val="p"/>
          </m:rPr>
          <m:t>SHAP</m:t>
        </m:r>
        <m:r>
          <m:rPr>
            <m:sty m:val="p"/>
          </m:rPr>
          <m:t>|</m:t>
        </m:r>
        <m:r>
          <m:rPr>
            <m:sty m:val="p"/>
          </m:rPr>
          <m:t>&gt;</m:t>
        </m:r>
        <m:r>
          <m:t>0</m:t>
        </m:r>
        <m:r>
          <m:rPr>
            <m:sty m:val="p"/>
          </m:rPr>
          <m:t>,</m:t>
        </m:r>
        <m:r>
          <m:t>27</m:t>
        </m:r>
      </m:oMath>
      <w:r>
        <w:t xml:space="preserve">). En el</w:t>
      </w:r>
      <w:r>
        <w:t xml:space="preserve"> </w:t>
      </w:r>
      <w:r>
        <w:rPr>
          <w:b/>
          <w:bCs/>
        </w:rPr>
        <w:t xml:space="preserve">Chaco</w:t>
      </w:r>
      <w:r>
        <w:t xml:space="preserve">, los detonantes meteorológicos principales corresponden a la</w:t>
      </w:r>
      <w:r>
        <w:t xml:space="preserve"> </w:t>
      </w:r>
      <w:r>
        <w:rPr>
          <w:b/>
          <w:bCs/>
        </w:rPr>
        <w:t xml:space="preserve">presión dinámica cuadrática del viento</w:t>
      </w:r>
      <w:r>
        <w:t xml:space="preserve"> </w:t>
      </w:r>
      <w:r>
        <w:t xml:space="preserve">(</w:t>
      </w:r>
      <m:oMath>
        <m:sSup>
          <m:e>
            <m:r>
              <m:t>v</m:t>
            </m:r>
          </m:e>
          <m:sup>
            <m:r>
              <m:t>2</m:t>
            </m:r>
          </m:sup>
        </m:sSup>
      </m:oMath>
      <w:r>
        <w:t xml:space="preserve">,</w:t>
      </w:r>
      <w:r>
        <w:t xml:space="preserve"> </w:t>
      </w:r>
      <m:oMath>
        <m:r>
          <m:rPr>
            <m:sty m:val="p"/>
          </m:rPr>
          <m:t>|</m:t>
        </m:r>
        <m:r>
          <m:rPr>
            <m:nor/>
            <m:sty m:val="p"/>
          </m:rPr>
          <m:t>SHAP</m:t>
        </m:r>
        <m:r>
          <m:rPr>
            <m:sty m:val="p"/>
          </m:rPr>
          <m:t>|</m:t>
        </m:r>
        <m:r>
          <m:rPr>
            <m:sty m:val="p"/>
          </m:rPr>
          <m:t>=</m:t>
        </m:r>
        <m:r>
          <m:t>0</m:t>
        </m:r>
        <m:r>
          <m:rPr>
            <m:sty m:val="p"/>
          </m:rPr>
          <m:t>,</m:t>
        </m:r>
        <m:r>
          <m:t>024</m:t>
        </m:r>
      </m:oMath>
      <w:r>
        <w:t xml:space="preserve">) y la temperatura mínima, coherente con las intrusiones de frentes fríos ventosos que resecan el estrato xerofítico.</w:t>
      </w:r>
    </w:p>
    <w:p>
      <w:pPr>
        <w:pStyle w:val="BodyText"/>
      </w:pPr>
      <w:r>
        <w:t xml:space="preserve">En contraste, en la</w:t>
      </w:r>
      <w:r>
        <w:t xml:space="preserve"> </w:t>
      </w:r>
      <w:r>
        <w:rPr>
          <w:b/>
          <w:bCs/>
        </w:rPr>
        <w:t xml:space="preserve">Región Oriental</w:t>
      </w:r>
      <w:r>
        <w:t xml:space="preserve">, tras el prior espacial, los motores biofísicos dominantes son el</w:t>
      </w:r>
      <w:r>
        <w:t xml:space="preserve"> </w:t>
      </w:r>
      <w:r>
        <w:rPr>
          <w:b/>
          <w:bCs/>
        </w:rPr>
        <w:t xml:space="preserve">contenido de humedad del combustible fino</w:t>
      </w:r>
      <w:r>
        <w:t xml:space="preserve"> </w:t>
      </w:r>
      <w:r>
        <w:t xml:space="preserve">(</w:t>
      </w:r>
      <m:oMath>
        <m:r>
          <m:t>F</m:t>
        </m:r>
        <m:r>
          <m:t>F</m:t>
        </m:r>
        <m:r>
          <m:t>M</m:t>
        </m:r>
        <m:r>
          <m:t>C</m:t>
        </m:r>
      </m:oMath>
      <w:r>
        <w:t xml:space="preserve">,</w:t>
      </w:r>
      <w:r>
        <w:t xml:space="preserve"> </w:t>
      </w:r>
      <m:oMath>
        <m:r>
          <m:rPr>
            <m:sty m:val="p"/>
          </m:rPr>
          <m:t>|</m:t>
        </m:r>
        <m:r>
          <m:rPr>
            <m:nor/>
            <m:sty m:val="p"/>
          </m:rPr>
          <m:t>SHAP</m:t>
        </m:r>
        <m:r>
          <m:rPr>
            <m:sty m:val="p"/>
          </m:rPr>
          <m:t>|</m:t>
        </m:r>
        <m:r>
          <m:rPr>
            <m:sty m:val="p"/>
          </m:rPr>
          <m:t>=</m:t>
        </m:r>
        <m:r>
          <m:t>0</m:t>
        </m:r>
        <m:r>
          <m:rPr>
            <m:sty m:val="p"/>
          </m:rPr>
          <m:t>,</m:t>
        </m:r>
        <m:r>
          <m:t>021</m:t>
        </m:r>
      </m:oMath>
      <w:r>
        <w:t xml:space="preserve">), la temperatura máxima (</w:t>
      </w:r>
      <m:oMath>
        <m:r>
          <m:t>0</m:t>
        </m:r>
        <m:r>
          <m:rPr>
            <m:sty m:val="p"/>
          </m:rPr>
          <m:t>,</m:t>
        </m:r>
        <m:r>
          <m:t>014</m:t>
        </m:r>
      </m:oMath>
      <w:r>
        <w:t xml:space="preserve">) y el índice de propagación inicial (</w:t>
      </w:r>
      <m:oMath>
        <m:r>
          <m:t>I</m:t>
        </m:r>
        <m:r>
          <m:t>S</m:t>
        </m:r>
        <m:r>
          <m:t>I</m:t>
        </m:r>
      </m:oMath>
      <w:r>
        <w:t xml:space="preserve">,</w:t>
      </w:r>
      <w:r>
        <w:t xml:space="preserve"> </w:t>
      </w:r>
      <m:oMath>
        <m:r>
          <m:t>0</m:t>
        </m:r>
        <m:r>
          <m:rPr>
            <m:sty m:val="p"/>
          </m:rPr>
          <m:t>,</m:t>
        </m:r>
        <m:r>
          <m:t>010</m:t>
        </m:r>
      </m:oMath>
      <w:r>
        <w:t xml:space="preserve">), reflejando el forzante térmico que condiciona la quema de rastrojos y pasturas implantadas.</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2333624"/>
                  <wp:effectExtent b="0" l="0" r="0" t="0"/>
                  <wp:docPr descr="" title="" id="61" name="Picture"/>
                  <a:graphic>
                    <a:graphicData uri="http://schemas.openxmlformats.org/drawingml/2006/picture">
                      <pic:pic>
                        <pic:nvPicPr>
                          <pic:cNvPr descr="figuras/fig04_shap_comparativa_chaco_vs_oriental.png" id="62" name="Picture"/>
                          <pic:cNvPicPr>
                            <a:picLocks noChangeArrowheads="1" noChangeAspect="1"/>
                          </pic:cNvPicPr>
                        </pic:nvPicPr>
                        <pic:blipFill>
                          <a:blip r:embed="rId60"/>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3"/>
        </w:tc>
      </w:tr>
    </w:tbl>
    <w:bookmarkEnd w:id="64"/>
    <w:bookmarkStart w:id="7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5">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mapa-operativo"/>
          <w:p>
            <w:pPr>
              <w:pStyle w:val="Compact"/>
              <w:jc w:val="center"/>
            </w:pPr>
            <w:r>
              <w:drawing>
                <wp:inline>
                  <wp:extent cx="4533900" cy="5037666"/>
                  <wp:effectExtent b="0" l="0" r="0" t="0"/>
                  <wp:docPr descr="" title="" id="67" name="Picture"/>
                  <a:graphic>
                    <a:graphicData uri="http://schemas.openxmlformats.org/drawingml/2006/picture">
                      <pic:pic>
                        <pic:nvPicPr>
                          <pic:cNvPr descr="figuras/fig03_mapa_riesgo_operativo_nacional.png" id="68" name="Picture"/>
                          <pic:cNvPicPr>
                            <a:picLocks noChangeArrowheads="1" noChangeAspect="1"/>
                          </pic:cNvPicPr>
                        </pic:nvPicPr>
                        <pic:blipFill>
                          <a:blip r:embed="rId66"/>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69"/>
        </w:tc>
      </w:tr>
    </w:tbl>
    <w:p>
      <w:r>
        <w:pict>
          <v:rect style="width:0;height:1.5pt" o:hralign="center" o:hrstd="t" o:hr="t"/>
        </w:pict>
      </w:r>
    </w:p>
    <w:bookmarkEnd w:id="70"/>
    <w:bookmarkEnd w:id="71"/>
    <w:bookmarkStart w:id="79" w:name="discusión"/>
    <w:p>
      <w:pPr>
        <w:pStyle w:val="Heading1"/>
      </w:pPr>
      <w:r>
        <w:t xml:space="preserve">6. 6. Discusión</w:t>
      </w:r>
    </w:p>
    <w:bookmarkStart w:id="7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2"/>
    <w:bookmarkStart w:id="7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 alcanzando un ROC-AUC de</w:t>
      </w:r>
      <w:r>
        <w:t xml:space="preserve"> </w:t>
      </w:r>
      <m:oMath>
        <m:r>
          <m:t>0</m:t>
        </m:r>
        <m:r>
          <m:rPr>
            <m:sty m:val="p"/>
          </m:rPr>
          <m:t>,</m:t>
        </m:r>
        <m:r>
          <m:t>8305</m:t>
        </m:r>
      </m:oMath>
      <w:r>
        <w:t xml:space="preserve"> </w:t>
      </w:r>
      <w:r>
        <w:t xml:space="preserve">en el Chaco y</w:t>
      </w:r>
      <w:r>
        <w:t xml:space="preserve"> </w:t>
      </w:r>
      <m:oMath>
        <m:r>
          <m:t>0</m:t>
        </m:r>
        <m:r>
          <m:rPr>
            <m:sty m:val="p"/>
          </m:rPr>
          <m:t>,</m:t>
        </m:r>
        <m:r>
          <m:t>7106</m:t>
        </m:r>
      </m:oMath>
      <w:r>
        <w:t xml:space="preserve"> </w:t>
      </w:r>
      <w:r>
        <w:t xml:space="preserve">en la Oriental.</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90</m:t>
        </m:r>
        <m:r>
          <m:rPr>
            <m:sty m:val="p"/>
          </m:rPr>
          <m:t>,</m:t>
        </m:r>
        <m:r>
          <m:t>16</m:t>
        </m:r>
        <m:r>
          <m:rPr>
            <m:nor/>
            <m:sty m:val="p"/>
          </m:rPr>
          <m:t> %</m:t>
        </m:r>
      </m:oMath>
      <w:r>
        <w:t xml:space="preserve"> </w:t>
      </w:r>
      <w:r>
        <w:t xml:space="preserve">y únicamente 12 falsos positivos en el Chaco.</w:t>
      </w:r>
    </w:p>
    <w:bookmarkEnd w:id="73"/>
    <w:bookmarkStart w:id="74"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4</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74"/>
    <w:bookmarkStart w:id="75" w:name="X3e54dd60c7fbc72761b117dd93af22f079f2340"/>
    <w:p>
      <w:pPr>
        <w:pStyle w:val="Heading2"/>
      </w:pPr>
      <w:r>
        <w:t xml:space="preserve">6.4 6.4 Física del Paisaje y Asimetría Regional de Escala de Disturbio</w:t>
      </w:r>
    </w:p>
    <w:p>
      <w:pPr>
        <w:pStyle w:val="FirstParagraph"/>
      </w:pPr>
      <w:r>
        <w:t xml:space="preserve">La disparidad en la precisión operativa entre el Chaco (</w:t>
      </w:r>
      <m:oMath>
        <m:r>
          <m:t>60</m:t>
        </m:r>
        <m:r>
          <m:rPr>
            <m:sty m:val="p"/>
          </m:rPr>
          <m:t>,</m:t>
        </m:r>
        <m:r>
          <m:t>51</m:t>
        </m:r>
        <m:r>
          <m:rPr>
            <m:nor/>
            <m:sty m:val="p"/>
          </m:rPr>
          <m:t> %</m:t>
        </m:r>
      </m:oMath>
      <w:r>
        <w:t xml:space="preserve"> </w:t>
      </w:r>
      <w:r>
        <w:t xml:space="preserve">con</w:t>
      </w:r>
      <w:r>
        <w:t xml:space="preserve"> </w:t>
      </w:r>
      <m:oMath>
        <m:sSub>
          <m:e>
            <m:r>
              <m:t>F</m:t>
            </m:r>
          </m:e>
          <m:sub>
            <m:r>
              <m:t>0.5</m:t>
            </m:r>
          </m:sub>
        </m:sSub>
      </m:oMath>
      <w:r>
        <w:t xml:space="preserve">) y la Región Oriental (</w:t>
      </w:r>
      <m:oMath>
        <m:r>
          <m:t>31</m:t>
        </m:r>
        <m:r>
          <m:rPr>
            <m:sty m:val="p"/>
          </m:rPr>
          <m:t>,</m:t>
        </m:r>
        <m:r>
          <m:t>67</m:t>
        </m:r>
        <m:r>
          <m:rPr>
            <m:nor/>
            <m:sty m:val="p"/>
          </m:rPr>
          <m:t> %</m:t>
        </m:r>
      </m:oMath>
      <w:r>
        <w:t xml:space="preserve">) no refleja un defecto algorítmico, sino la marcada heterogeneidad en la física del paisaje y la escala del disturbio entre ambos biomas:</w:t>
      </w:r>
      <w:r>
        <w:t xml:space="preserve"> </w:t>
      </w:r>
      <w:r>
        <w:t xml:space="preserve">- En el</w:t>
      </w:r>
      <w:r>
        <w:t xml:space="preserve"> </w:t>
      </w:r>
      <w:r>
        <w:rPr>
          <w:b/>
          <w:bCs/>
        </w:rPr>
        <w:t xml:space="preserve">Gran Chaco</w:t>
      </w:r>
      <w:r>
        <w:t xml:space="preserve">, el régimen de fuego está dominado por macro-conflagraciones en mosaicos continuos de pasturas ganaderas y bosque seco xerofítico, abarcando miles o decenas de miles de hectáreas. Este régimen de gran escala espacial coincide de manera natural con la resolución de</w:t>
      </w:r>
      <w:r>
        <w:t xml:space="preserve"> </w:t>
      </w:r>
      <m:oMath>
        <m:r>
          <m:t>1</m:t>
        </m:r>
        <m:sSup>
          <m:e>
            <m:r>
              <m:rPr>
                <m:nor/>
                <m:sty m:val="p"/>
              </m:rPr>
              <m:t> km</m:t>
            </m:r>
          </m:e>
          <m:sup>
            <m:r>
              <m:t>2</m:t>
            </m:r>
          </m:sup>
        </m:sSup>
      </m:oMath>
      <w:r>
        <w:t xml:space="preserve"> </w:t>
      </w:r>
      <w:r>
        <w:t xml:space="preserve">de la grilla soberana y la escala sinóptica de ERA5-Land.</w:t>
      </w:r>
      <w:r>
        <w:t xml:space="preserve"> </w:t>
      </w:r>
      <w:r>
        <w:t xml:space="preserve">- En la</w:t>
      </w:r>
      <w:r>
        <w:t xml:space="preserve"> </w:t>
      </w:r>
      <w:r>
        <w:rPr>
          <w:b/>
          <w:bCs/>
        </w:rPr>
        <w:t xml:space="preserve">Región Oriental</w:t>
      </w:r>
      <w:r>
        <w:t xml:space="preserve">, el paisaje exhibe una fragmentación extrema producto de la agricultura intensiva, minifundios campesinos (parcelas de 2 a 10 ha) e intrusión urbana. Las quemas de limpieza y rastrojo son a menudo eventos sub-pixel (</w:t>
      </w:r>
      <m:oMath>
        <m:r>
          <m:rPr>
            <m:sty m:val="p"/>
          </m:rPr>
          <m:t>&lt;</m:t>
        </m:r>
        <m:r>
          <m:t>1</m:t>
        </m:r>
        <m:sSup>
          <m:e>
            <m:r>
              <m:rPr>
                <m:nor/>
                <m:sty m:val="p"/>
              </m:rPr>
              <m:t> km</m:t>
            </m:r>
          </m:e>
          <m:sup>
            <m:r>
              <m:t>2</m:t>
            </m:r>
          </m:sup>
        </m:sSup>
      </m:oMath>
      <w:r>
        <w:t xml:space="preserve">) de muy corta duración (pocas horas), lo que introduce una estocasticidad antrópica local más pronunciada que atenúa el valor de precisión puntual sin comprometer la capacidad de ordenamiento relativo del riesgo (</w:t>
      </w:r>
      <m:oMath>
        <m:r>
          <m:t>R</m:t>
        </m:r>
        <m:r>
          <m:t>O</m:t>
        </m:r>
        <m:r>
          <m:t>C</m:t>
        </m:r>
        <m:r>
          <m:rPr>
            <m:sty m:val="p"/>
          </m:rPr>
          <m:t>=</m:t>
        </m:r>
        <m:r>
          <m:t>0</m:t>
        </m:r>
        <m:r>
          <m:rPr>
            <m:sty m:val="p"/>
          </m:rPr>
          <m:t>,</m:t>
        </m:r>
        <m:r>
          <m:t>7106</m:t>
        </m:r>
      </m:oMath>
      <w:r>
        <w:t xml:space="preserve">).</w:t>
      </w:r>
    </w:p>
    <w:bookmarkEnd w:id="75"/>
    <w:bookmarkStart w:id="76" w:name="Xdbe9e24ff68e0f550b55cf778b6866cf467941b"/>
    <w:p>
      <w:pPr>
        <w:pStyle w:val="Heading2"/>
      </w:pPr>
      <w:r>
        <w:t xml:space="preserve">6.5 6.5 Cuantificación de Incertidumbre y Garantías Conformes</w:t>
      </w:r>
    </w:p>
    <w:p>
      <w:pPr>
        <w:pStyle w:val="FirstParagraph"/>
      </w:pPr>
      <w:r>
        <w:t xml:space="preserve">Para que una predicción probabilística sea accionable en operaciones de protección civil, los tomadores de decisiones requieren conocer el grado de certidumbre del pronóstico. Mediante calibración conforme (</w:t>
      </w:r>
      <w:r>
        <w:rPr>
          <w:i/>
          <w:iCs/>
        </w:rPr>
        <w:t xml:space="preserve">Split Conformal Prediction</w:t>
      </w:r>
      <w:r>
        <w:t xml:space="preserve">) sobre el conjunto de validación,</w:t>
      </w:r>
      <w:r>
        <w:t xml:space="preserve"> </w:t>
      </w:r>
      <w:r>
        <w:rPr>
          <w:rStyle w:val="VerbatimChar"/>
        </w:rPr>
        <w:t xml:space="preserve">Incendios_PY</w:t>
      </w:r>
      <w:r>
        <w:t xml:space="preserve"> </w:t>
      </w:r>
      <w:r>
        <w:t xml:space="preserve">complementa la probabilidad puntual calibrada con conjuntos de predicción conformalmente válidos a un nivel de cobertura marginal garantizado del</w:t>
      </w:r>
      <w:r>
        <w:t xml:space="preserve"> </w:t>
      </w:r>
      <m:oMath>
        <m:r>
          <m:t>1</m:t>
        </m:r>
        <m:r>
          <m:rPr>
            <m:sty m:val="p"/>
          </m:rPr>
          <m:t>−</m:t>
        </m:r>
        <m:r>
          <m:t>α</m:t>
        </m:r>
        <m:r>
          <m:rPr>
            <m:sty m:val="p"/>
          </m:rPr>
          <m:t>=</m:t>
        </m:r>
        <m:r>
          <m:t>0</m:t>
        </m:r>
        <m:r>
          <m:rPr>
            <m:sty m:val="p"/>
          </m:rPr>
          <m:t>,</m:t>
        </m:r>
        <m:r>
          <m:t>90</m:t>
        </m:r>
      </m:oMath>
      <w:r>
        <w:t xml:space="preserve">. Esto permite discriminar celdas con alta confianza operativa de aquellas donde la escasez de observaciones o la turbulencia atmosférica local amplían el intervalo de incertidumbre epistémica.</w:t>
      </w:r>
    </w:p>
    <w:bookmarkEnd w:id="76"/>
    <w:bookmarkStart w:id="77" w:name="Xcdb6614f49e377e95868282d3e14bf0f8e490ca"/>
    <w:p>
      <w:pPr>
        <w:pStyle w:val="Heading2"/>
      </w:pPr>
      <w:r>
        <w:t xml:space="preserve">6.6 6.6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7"/>
    <w:bookmarkStart w:id="78" w:name="limitaciones"/>
    <w:p>
      <w:pPr>
        <w:pStyle w:val="Heading2"/>
      </w:pPr>
      <w:r>
        <w:t xml:space="preserve">6.7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78"/>
    <w:bookmarkEnd w:id="79"/>
    <w:bookmarkStart w:id="85"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táctica del</w:t>
      </w:r>
      <w:r>
        <w:t xml:space="preserve"> </w:t>
      </w:r>
      <m:oMath>
        <m:r>
          <m:t>90</m:t>
        </m:r>
        <m:r>
          <m:rPr>
            <m:sty m:val="p"/>
          </m:rPr>
          <m:t>,</m:t>
        </m:r>
        <m:r>
          <m:t>16</m:t>
        </m:r>
        <m:r>
          <m:rPr>
            <m:nor/>
            <m:sty m:val="p"/>
          </m:rPr>
          <m:t> %</m:t>
        </m:r>
      </m:oMath>
      <w:r>
        <w:t xml:space="preserve"> </w:t>
      </w:r>
      <w:r>
        <w:t xml:space="preserve">en propagación en el Chaco y superando al Canadian FWI por más de 28 a 32 puntos porcentuales de ROC-AUC en ignición primaria en ambas macro-regiones.</w:t>
      </w:r>
    </w:p>
    <w:p>
      <w:pPr>
        <w:pStyle w:val="Compact"/>
        <w:numPr>
          <w:ilvl w:val="0"/>
          <w:numId w:val="1008"/>
        </w:numPr>
      </w:pPr>
      <w:r>
        <w:t xml:space="preserve">La susceptibilidad espacial histórica (sin fuga temporal) provee el anclaje antrópico base, mientras que la presión dinámica cuadrática del viento (</w:t>
      </w:r>
      <m:oMath>
        <m:sSup>
          <m:e>
            <m:r>
              <m:t>v</m:t>
            </m:r>
          </m:e>
          <m:sup>
            <m:r>
              <m:t>2</m:t>
            </m:r>
          </m:sup>
        </m:sSup>
      </m:oMath>
      <w:r>
        <w:t xml:space="preserve">) gobierna la ignición chaqueña y la humedad del combustible fino (</w:t>
      </w:r>
      <m:oMath>
        <m:r>
          <m:t>F</m:t>
        </m:r>
        <m:r>
          <m:t>F</m:t>
        </m:r>
        <m:r>
          <m:t>M</m:t>
        </m:r>
        <m:r>
          <m:t>C</m:t>
        </m:r>
      </m:oMath>
      <w:r>
        <w:t xml:space="preserve">)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4"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 </w:t>
      </w:r>
      <w:r>
        <w:t xml:space="preserve">sustentado en bases de datos de comportamiento global</w:t>
      </w:r>
      <w:r>
        <w:t xml:space="preserve"> </w:t>
      </w:r>
      <w:r>
        <w:t xml:space="preserve">(Artés et al., 2019)</w:t>
      </w:r>
      <w:r>
        <w:t xml:space="preserve"> </w:t>
      </w:r>
      <w:r>
        <w:t xml:space="preserve">y teledetección de cicatrices de quemado</w:t>
      </w:r>
      <w:r>
        <w:t xml:space="preserve"> </w:t>
      </w:r>
      <w:r>
        <w:t xml:space="preserve">(Chuvieco et al., 2019)</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Asimismo, la siguiente iteración del sistema incorporará la asimilación directa de productos de teledetección hídrica de alta frecuencia:</w:t>
      </w:r>
      <w:r>
        <w:t xml:space="preserve"> </w:t>
      </w:r>
      <w:r>
        <w:t xml:space="preserve">-</w:t>
      </w:r>
      <w:r>
        <w:t xml:space="preserve"> </w:t>
      </w:r>
      <w:r>
        <w:rPr>
          <w:b/>
          <w:bCs/>
        </w:rPr>
        <w:t xml:space="preserve">Humedad superficial de suelo por microondas activas/pasivas (NASA SMAP a 9 km):</w:t>
      </w:r>
      <w:r>
        <w:t xml:space="preserve"> </w:t>
      </w:r>
      <w:r>
        <w:t xml:space="preserve">Para sustituir los balances teóricos de suelo de ERA5-Land por observaciones físicas directas del estrato radicular.</w:t>
      </w:r>
      <w:r>
        <w:t xml:space="preserve"> </w:t>
      </w:r>
      <w:r>
        <w:t xml:space="preserve">-</w:t>
      </w:r>
      <w:r>
        <w:t xml:space="preserve"> </w:t>
      </w:r>
      <w:r>
        <w:rPr>
          <w:b/>
          <w:bCs/>
        </w:rPr>
        <w:t xml:space="preserve">Estrés hídrico foliar y contenido de agua del dosel (Copernicus Sentinel-3 OLCI/SLSTR a 300 m):</w:t>
      </w:r>
      <w:r>
        <w:t xml:space="preserve"> </w:t>
      </w:r>
      <w:r>
        <w:t xml:space="preserve">Mediante el cómputo diario del Índice Normalizado de Diferencia de Agua (</w:t>
      </w:r>
      <m:oMath>
        <m:r>
          <m:t>N</m:t>
        </m:r>
        <m:r>
          <m:t>D</m:t>
        </m:r>
        <m:r>
          <m:t>W</m:t>
        </m:r>
        <m:r>
          <m:t>I</m:t>
        </m:r>
      </m:oMath>
      <w:r>
        <w:t xml:space="preserve">), capturando la desecación premórbida de la vegetación leñosa antes de su colapso en combustible disponible.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trimodal"/>
          <w:p>
            <w:pPr>
              <w:pStyle w:val="Compact"/>
              <w:jc w:val="center"/>
            </w:pPr>
            <w:r>
              <w:drawing>
                <wp:inline>
                  <wp:extent cx="5334000" cy="1987136"/>
                  <wp:effectExtent b="0" l="0" r="0" t="0"/>
                  <wp:docPr descr="" title="" id="81" name="Picture"/>
                  <a:graphic>
                    <a:graphicData uri="http://schemas.openxmlformats.org/drawingml/2006/picture">
                      <pic:pic>
                        <pic:nvPicPr>
                          <pic:cNvPr descr="figuras/fig06_comparativa_satelital_tres_modos.png" id="82" name="Picture"/>
                          <pic:cNvPicPr>
                            <a:picLocks noChangeArrowheads="1" noChangeAspect="1"/>
                          </pic:cNvPicPr>
                        </pic:nvPicPr>
                        <pic:blipFill>
                          <a:blip r:embed="rId80"/>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3"/>
        </w:tc>
      </w:tr>
    </w:tbl>
    <w:p>
      <w:r>
        <w:pict>
          <v:rect style="width:0;height:1.5pt" o:hralign="center" o:hrstd="t" o:hr="t"/>
        </w:pict>
      </w:r>
    </w:p>
    <w:bookmarkEnd w:id="84"/>
    <w:bookmarkEnd w:id="85"/>
    <w:bookmarkStart w:id="88"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87"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86">
                    <w:r>
                      <w:rPr>
                        <w:rStyle w:val="Hyperlink"/>
                      </w:rPr>
                      <w:t xml:space="preserve">https://github.com/sanchezmartin093-code/Incendios_PY</w:t>
                    </w:r>
                  </w:hyperlink>
                  <w:r>
                    <w:t xml:space="preserve"> </w:t>
                  </w:r>
                  <w:r>
                    <w:t xml:space="preserve">(versión anonimizada disponible para revisores).</w:t>
                  </w:r>
                </w:p>
              </w:tc>
            </w:tr>
          </w:tbl>
          <w:bookmarkEnd w:id="87"/>
          <w:p/>
        </w:tc>
      </w:tr>
    </w:tbl>
    <w:p>
      <w:r>
        <w:pict>
          <v:rect style="width:0;height:1.5pt" o:hralign="center" o:hrstd="t" o:hr="t"/>
        </w:pict>
      </w:r>
    </w:p>
    <w:bookmarkEnd w:id="88"/>
    <w:bookmarkStart w:id="172" w:name="referencias"/>
    <w:p>
      <w:pPr>
        <w:pStyle w:val="Heading1"/>
      </w:pPr>
      <w:r>
        <w:t xml:space="preserve">Referencias</w:t>
      </w:r>
    </w:p>
    <w:bookmarkStart w:id="171" w:name="refs"/>
    <w:bookmarkStart w:id="90"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89">
        <w:r>
          <w:rPr>
            <w:rStyle w:val="Hyperlink"/>
          </w:rPr>
          <w:t xml:space="preserve">https://doi.org/10.3390/rs10091438</w:t>
        </w:r>
      </w:hyperlink>
    </w:p>
    <w:bookmarkEnd w:id="90"/>
    <w:bookmarkStart w:id="92"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91">
        <w:r>
          <w:rPr>
            <w:rStyle w:val="Hyperlink"/>
          </w:rPr>
          <w:t xml:space="preserve">https://doi.org/10.1071/WF12167</w:t>
        </w:r>
      </w:hyperlink>
    </w:p>
    <w:bookmarkEnd w:id="92"/>
    <w:bookmarkStart w:id="94"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3">
        <w:r>
          <w:rPr>
            <w:rStyle w:val="Hyperlink"/>
          </w:rPr>
          <w:t xml:space="preserve">https://doi.org/10.1038/s41597-019-0312-2</w:t>
        </w:r>
      </w:hyperlink>
    </w:p>
    <w:bookmarkEnd w:id="94"/>
    <w:bookmarkStart w:id="96"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5">
        <w:r>
          <w:rPr>
            <w:rStyle w:val="Hyperlink"/>
          </w:rPr>
          <w:t xml:space="preserve">https://doi.org/10.3390/s20226442</w:t>
        </w:r>
      </w:hyperlink>
    </w:p>
    <w:bookmarkEnd w:id="96"/>
    <w:bookmarkStart w:id="98"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97">
        <w:r>
          <w:rPr>
            <w:rStyle w:val="Hyperlink"/>
          </w:rPr>
          <w:t xml:space="preserve">https://doi.org/10.1111/gcb.13521</w:t>
        </w:r>
      </w:hyperlink>
    </w:p>
    <w:bookmarkEnd w:id="98"/>
    <w:bookmarkStart w:id="100"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99">
        <w:r>
          <w:rPr>
            <w:rStyle w:val="Hyperlink"/>
          </w:rPr>
          <w:t xml:space="preserve">https://doi.org/10.1145/2939672.2939785</w:t>
        </w:r>
      </w:hyperlink>
    </w:p>
    <w:bookmarkEnd w:id="100"/>
    <w:bookmarkStart w:id="102"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01">
        <w:r>
          <w:rPr>
            <w:rStyle w:val="Hyperlink"/>
          </w:rPr>
          <w:t xml:space="preserve">https://doi.org/10.1016/j.rse.2019.02.013</w:t>
        </w:r>
      </w:hyperlink>
    </w:p>
    <w:bookmarkEnd w:id="102"/>
    <w:bookmarkStart w:id="104"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3">
        <w:r>
          <w:rPr>
            <w:rStyle w:val="Hyperlink"/>
          </w:rPr>
          <w:t xml:space="preserve">https://doi.org/10.1088/1748-9326/ab020e</w:t>
        </w:r>
      </w:hyperlink>
    </w:p>
    <w:bookmarkEnd w:id="104"/>
    <w:bookmarkStart w:id="106"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5">
        <w:r>
          <w:rPr>
            <w:rStyle w:val="Hyperlink"/>
          </w:rPr>
          <w:t xml:space="preserve">https://doi.org/10.1111/j.2007.0906-7590.05171.x</w:t>
        </w:r>
      </w:hyperlink>
    </w:p>
    <w:bookmarkEnd w:id="106"/>
    <w:bookmarkStart w:id="108"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07">
        <w:r>
          <w:rPr>
            <w:rStyle w:val="Hyperlink"/>
          </w:rPr>
          <w:t xml:space="preserve">https://doi.org/10.1071/WF08187</w:t>
        </w:r>
      </w:hyperlink>
    </w:p>
    <w:bookmarkEnd w:id="108"/>
    <w:bookmarkStart w:id="110"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09">
        <w:r>
          <w:rPr>
            <w:rStyle w:val="Hyperlink"/>
          </w:rPr>
          <w:t xml:space="preserve">https://doi.org/10.1007/s10584-015-1521-0</w:t>
        </w:r>
      </w:hyperlink>
    </w:p>
    <w:bookmarkEnd w:id="110"/>
    <w:bookmarkStart w:id="112"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11">
        <w:r>
          <w:rPr>
            <w:rStyle w:val="Hyperlink"/>
          </w:rPr>
          <w:t xml:space="preserve">https://doi.org/10.1016/j.rse.2016.02.054</w:t>
        </w:r>
      </w:hyperlink>
    </w:p>
    <w:bookmarkEnd w:id="112"/>
    <w:bookmarkStart w:id="114"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3">
        <w:r>
          <w:rPr>
            <w:rStyle w:val="Hyperlink"/>
          </w:rPr>
          <w:t xml:space="preserve">https://doi.org/10.1016/j.rse.2017.06.031</w:t>
        </w:r>
      </w:hyperlink>
    </w:p>
    <w:bookmarkEnd w:id="114"/>
    <w:bookmarkStart w:id="116"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5">
        <w:r>
          <w:rPr>
            <w:rStyle w:val="Hyperlink"/>
          </w:rPr>
          <w:t xml:space="preserve">https://doi.org/10.1139/er-2020-0019</w:t>
        </w:r>
      </w:hyperlink>
    </w:p>
    <w:bookmarkEnd w:id="116"/>
    <w:bookmarkStart w:id="118"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17">
        <w:r>
          <w:rPr>
            <w:rStyle w:val="Hyperlink"/>
          </w:rPr>
          <w:t xml:space="preserve">https://doi.org/10.1038/ncomms8537</w:t>
        </w:r>
      </w:hyperlink>
    </w:p>
    <w:bookmarkEnd w:id="118"/>
    <w:bookmarkStart w:id="120"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19">
        <w:r>
          <w:rPr>
            <w:rStyle w:val="Hyperlink"/>
          </w:rPr>
          <w:t xml:space="preserve">https://doi.org/10.1016/S0034-4257(02)00076-7</w:t>
        </w:r>
      </w:hyperlink>
    </w:p>
    <w:bookmarkEnd w:id="120"/>
    <w:bookmarkStart w:id="12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21"/>
    <w:bookmarkStart w:id="12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22">
        <w:r>
          <w:rPr>
            <w:rStyle w:val="Hyperlink"/>
          </w:rPr>
          <w:t xml:space="preserve">https://doi.org/10.2307/1939924</w:t>
        </w:r>
      </w:hyperlink>
    </w:p>
    <w:bookmarkEnd w:id="123"/>
    <w:bookmarkStart w:id="125"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4">
        <w:r>
          <w:rPr>
            <w:rStyle w:val="Hyperlink"/>
          </w:rPr>
          <w:t xml:space="preserve">https://doi.org/10.1038/s42256-019-0138-9</w:t>
        </w:r>
      </w:hyperlink>
    </w:p>
    <w:bookmarkEnd w:id="125"/>
    <w:bookmarkStart w:id="127"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26">
        <w:r>
          <w:rPr>
            <w:rStyle w:val="Hyperlink"/>
          </w:rPr>
          <w:t xml:space="preserve">https://chaco.mapbiomas.org/</w:t>
        </w:r>
      </w:hyperlink>
      <w:r>
        <w:t xml:space="preserve">.</w:t>
      </w:r>
    </w:p>
    <w:bookmarkEnd w:id="127"/>
    <w:bookmarkStart w:id="129"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28">
        <w:r>
          <w:rPr>
            <w:rStyle w:val="Hyperlink"/>
          </w:rPr>
          <w:t xml:space="preserve">https://doi.org/10.1111/2041-210X.13650</w:t>
        </w:r>
      </w:hyperlink>
    </w:p>
    <w:bookmarkEnd w:id="129"/>
    <w:bookmarkStart w:id="1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30">
        <w:r>
          <w:rPr>
            <w:rStyle w:val="Hyperlink"/>
          </w:rPr>
          <w:t xml:space="preserve">https://doi.org/10.5194/essd-13-4349-2021</w:t>
        </w:r>
      </w:hyperlink>
    </w:p>
    <w:bookmarkEnd w:id="131"/>
    <w:bookmarkStart w:id="133"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32">
        <w:r>
          <w:rPr>
            <w:rStyle w:val="Hyperlink"/>
          </w:rPr>
          <w:t xml:space="preserve">https://doi.org/10.1145/1102351.1102430</w:t>
        </w:r>
      </w:hyperlink>
    </w:p>
    <w:bookmarkEnd w:id="133"/>
    <w:bookmarkStart w:id="134"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4"/>
    <w:bookmarkStart w:id="136"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5">
        <w:r>
          <w:rPr>
            <w:rStyle w:val="Hyperlink"/>
          </w:rPr>
          <w:t xml:space="preserve">https://doi.org/10.1016/j.pecon.2021.06.005</w:t>
        </w:r>
      </w:hyperlink>
    </w:p>
    <w:bookmarkEnd w:id="136"/>
    <w:bookmarkStart w:id="13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37"/>
    <w:bookmarkStart w:id="139"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38">
        <w:r>
          <w:rPr>
            <w:rStyle w:val="Hyperlink"/>
          </w:rPr>
          <w:t xml:space="preserve">https://doi.org/10.1038/s41467-020-18321-y</w:t>
        </w:r>
      </w:hyperlink>
    </w:p>
    <w:bookmarkEnd w:id="139"/>
    <w:bookmarkStart w:id="140"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40"/>
    <w:bookmarkStart w:id="142"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41">
        <w:r>
          <w:rPr>
            <w:rStyle w:val="Hyperlink"/>
          </w:rPr>
          <w:t xml:space="preserve">https://doi.org/10.1145/3299869.3320212</w:t>
        </w:r>
      </w:hyperlink>
    </w:p>
    <w:bookmarkEnd w:id="142"/>
    <w:bookmarkStart w:id="144"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3">
        <w:r>
          <w:rPr>
            <w:rStyle w:val="Hyperlink"/>
          </w:rPr>
          <w:t xml:space="preserve">https://doi.org/10.1038/s41586-019-0912-1</w:t>
        </w:r>
      </w:hyperlink>
    </w:p>
    <w:bookmarkEnd w:id="144"/>
    <w:bookmarkStart w:id="14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5">
        <w:r>
          <w:rPr>
            <w:rStyle w:val="Hyperlink"/>
          </w:rPr>
          <w:t xml:space="preserve">https://doi.org/10.1111/ecog.02881</w:t>
        </w:r>
      </w:hyperlink>
    </w:p>
    <w:bookmarkEnd w:id="146"/>
    <w:bookmarkStart w:id="148"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47">
        <w:r>
          <w:rPr>
            <w:rStyle w:val="Hyperlink"/>
          </w:rPr>
          <w:t xml:space="preserve">https://doi.org/10.1016/j.envsoft.2014.03.003</w:t>
        </w:r>
      </w:hyperlink>
    </w:p>
    <w:bookmarkEnd w:id="148"/>
    <w:bookmarkStart w:id="149"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49"/>
    <w:bookmarkStart w:id="151"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50">
        <w:r>
          <w:rPr>
            <w:rStyle w:val="Hyperlink"/>
          </w:rPr>
          <w:t xml:space="preserve">https://doi.org/10.1016/j.rse.2008.05.013</w:t>
        </w:r>
      </w:hyperlink>
    </w:p>
    <w:bookmarkEnd w:id="151"/>
    <w:bookmarkStart w:id="153"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52">
        <w:r>
          <w:rPr>
            <w:rStyle w:val="Hyperlink"/>
          </w:rPr>
          <w:t xml:space="preserve">https://doi.org/10.5772/28441</w:t>
        </w:r>
      </w:hyperlink>
    </w:p>
    <w:bookmarkEnd w:id="153"/>
    <w:bookmarkStart w:id="155"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4">
        <w:r>
          <w:rPr>
            <w:rStyle w:val="Hyperlink"/>
          </w:rPr>
          <w:t xml:space="preserve">https://doi.org/10.1016/j.firesaf.2019.01.006</w:t>
        </w:r>
      </w:hyperlink>
    </w:p>
    <w:bookmarkEnd w:id="155"/>
    <w:bookmarkStart w:id="15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56">
        <w:r>
          <w:rPr>
            <w:rStyle w:val="Hyperlink"/>
          </w:rPr>
          <w:t xml:space="preserve">https://doi.org/10.1016/j.rse.2013.12.008</w:t>
        </w:r>
      </w:hyperlink>
    </w:p>
    <w:bookmarkEnd w:id="157"/>
    <w:bookmarkStart w:id="15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58">
        <w:r>
          <w:rPr>
            <w:rStyle w:val="Hyperlink"/>
          </w:rPr>
          <w:t xml:space="preserve">http://queimadas.dgi.inpe.br</w:t>
        </w:r>
      </w:hyperlink>
    </w:p>
    <w:bookmarkEnd w:id="159"/>
    <w:bookmarkStart w:id="16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60">
        <w:r>
          <w:rPr>
            <w:rStyle w:val="Hyperlink"/>
          </w:rPr>
          <w:t xml:space="preserve">https://doi.org/10.5558/tfc65258-4</w:t>
        </w:r>
      </w:hyperlink>
    </w:p>
    <w:bookmarkEnd w:id="161"/>
    <w:bookmarkStart w:id="163"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62">
        <w:r>
          <w:rPr>
            <w:rStyle w:val="Hyperlink"/>
          </w:rPr>
          <w:t xml:space="preserve">https://doi.org/10.2307/143141</w:t>
        </w:r>
      </w:hyperlink>
    </w:p>
    <w:bookmarkEnd w:id="163"/>
    <w:bookmarkStart w:id="165"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4">
        <w:r>
          <w:rPr>
            <w:rStyle w:val="Hyperlink"/>
          </w:rPr>
          <w:t xml:space="preserve">https://doi.org/10.1016/j.jaridenv.2014.11.009</w:t>
        </w:r>
      </w:hyperlink>
    </w:p>
    <w:bookmarkEnd w:id="165"/>
    <w:bookmarkStart w:id="166"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66"/>
    <w:bookmarkStart w:id="168"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67">
        <w:r>
          <w:rPr>
            <w:rStyle w:val="Hyperlink"/>
          </w:rPr>
          <w:t xml:space="preserve">https://doi.org/10.1145/3514228</w:t>
        </w:r>
      </w:hyperlink>
    </w:p>
    <w:bookmarkEnd w:id="168"/>
    <w:bookmarkStart w:id="170"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69">
        <w:r>
          <w:rPr>
            <w:rStyle w:val="Hyperlink"/>
          </w:rPr>
          <w:t xml:space="preserve">https://doi.org/10.1029/2005JD006318</w:t>
        </w:r>
      </w:hyperlink>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80" Target="media/rId80.png" /><Relationship Type="http://schemas.openxmlformats.org/officeDocument/2006/relationships/hyperlink" Id="rId65" Target="file:///Users/martinsanchez/Documents/Proyectos_PY/Incendios_PY/src/alerta.py" TargetMode="External" /><Relationship Type="http://schemas.openxmlformats.org/officeDocument/2006/relationships/hyperlink" Id="rId158" Target="http://queimadas.dgi.inpe.br" TargetMode="External" /><Relationship Type="http://schemas.openxmlformats.org/officeDocument/2006/relationships/hyperlink" Id="rId126" Target="https://chaco.mapbiomas.org/" TargetMode="External" /><Relationship Type="http://schemas.openxmlformats.org/officeDocument/2006/relationships/hyperlink" Id="rId109" Target="https://doi.org/10.1007/s10584-015-1521-0" TargetMode="External" /><Relationship Type="http://schemas.openxmlformats.org/officeDocument/2006/relationships/hyperlink" Id="rId119" Target="https://doi.org/10.1016/S0034-4257(02)00076-7" TargetMode="External" /><Relationship Type="http://schemas.openxmlformats.org/officeDocument/2006/relationships/hyperlink" Id="rId147" Target="https://doi.org/10.1016/j.envsoft.2014.03.003" TargetMode="External" /><Relationship Type="http://schemas.openxmlformats.org/officeDocument/2006/relationships/hyperlink" Id="rId154" Target="https://doi.org/10.1016/j.firesaf.2019.01.006" TargetMode="External" /><Relationship Type="http://schemas.openxmlformats.org/officeDocument/2006/relationships/hyperlink" Id="rId164" Target="https://doi.org/10.1016/j.jaridenv.2014.11.009" TargetMode="External" /><Relationship Type="http://schemas.openxmlformats.org/officeDocument/2006/relationships/hyperlink" Id="rId135" Target="https://doi.org/10.1016/j.pecon.2021.06.005" TargetMode="External" /><Relationship Type="http://schemas.openxmlformats.org/officeDocument/2006/relationships/hyperlink" Id="rId150" Target="https://doi.org/10.1016/j.rse.2008.05.013" TargetMode="External" /><Relationship Type="http://schemas.openxmlformats.org/officeDocument/2006/relationships/hyperlink" Id="rId156" Target="https://doi.org/10.1016/j.rse.2013.12.008" TargetMode="External" /><Relationship Type="http://schemas.openxmlformats.org/officeDocument/2006/relationships/hyperlink" Id="rId111" Target="https://doi.org/10.1016/j.rse.2016.02.054" TargetMode="External" /><Relationship Type="http://schemas.openxmlformats.org/officeDocument/2006/relationships/hyperlink" Id="rId113" Target="https://doi.org/10.1016/j.rse.2017.06.031" TargetMode="External" /><Relationship Type="http://schemas.openxmlformats.org/officeDocument/2006/relationships/hyperlink" Id="rId101" Target="https://doi.org/10.1016/j.rse.2019.02.013" TargetMode="External" /><Relationship Type="http://schemas.openxmlformats.org/officeDocument/2006/relationships/hyperlink" Id="rId169" Target="https://doi.org/10.1029/2005JD006318" TargetMode="External" /><Relationship Type="http://schemas.openxmlformats.org/officeDocument/2006/relationships/hyperlink" Id="rId117" Target="https://doi.org/10.1038/ncomms8537" TargetMode="External" /><Relationship Type="http://schemas.openxmlformats.org/officeDocument/2006/relationships/hyperlink" Id="rId138" Target="https://doi.org/10.1038/s41467-020-18321-y" TargetMode="External" /><Relationship Type="http://schemas.openxmlformats.org/officeDocument/2006/relationships/hyperlink" Id="rId143" Target="https://doi.org/10.1038/s41586-019-0912-1" TargetMode="External" /><Relationship Type="http://schemas.openxmlformats.org/officeDocument/2006/relationships/hyperlink" Id="rId93" Target="https://doi.org/10.1038/s41597-019-0312-2" TargetMode="External" /><Relationship Type="http://schemas.openxmlformats.org/officeDocument/2006/relationships/hyperlink" Id="rId124" Target="https://doi.org/10.1038/s42256-019-0138-9" TargetMode="External" /><Relationship Type="http://schemas.openxmlformats.org/officeDocument/2006/relationships/hyperlink" Id="rId107" Target="https://doi.org/10.1071/WF08187" TargetMode="External" /><Relationship Type="http://schemas.openxmlformats.org/officeDocument/2006/relationships/hyperlink" Id="rId91" Target="https://doi.org/10.1071/WF12167" TargetMode="External" /><Relationship Type="http://schemas.openxmlformats.org/officeDocument/2006/relationships/hyperlink" Id="rId103" Target="https://doi.org/10.1088/1748-9326/ab020e" TargetMode="External" /><Relationship Type="http://schemas.openxmlformats.org/officeDocument/2006/relationships/hyperlink" Id="rId128" Target="https://doi.org/10.1111/2041-210X.13650" TargetMode="External" /><Relationship Type="http://schemas.openxmlformats.org/officeDocument/2006/relationships/hyperlink" Id="rId145" Target="https://doi.org/10.1111/ecog.02881" TargetMode="External" /><Relationship Type="http://schemas.openxmlformats.org/officeDocument/2006/relationships/hyperlink" Id="rId97" Target="https://doi.org/10.1111/gcb.13521" TargetMode="External" /><Relationship Type="http://schemas.openxmlformats.org/officeDocument/2006/relationships/hyperlink" Id="rId105" Target="https://doi.org/10.1111/j.2007.0906-7590.05171.x" TargetMode="External" /><Relationship Type="http://schemas.openxmlformats.org/officeDocument/2006/relationships/hyperlink" Id="rId115" Target="https://doi.org/10.1139/er-2020-0019" TargetMode="External" /><Relationship Type="http://schemas.openxmlformats.org/officeDocument/2006/relationships/hyperlink" Id="rId132" Target="https://doi.org/10.1145/1102351.1102430" TargetMode="External" /><Relationship Type="http://schemas.openxmlformats.org/officeDocument/2006/relationships/hyperlink" Id="rId99" Target="https://doi.org/10.1145/2939672.2939785" TargetMode="External" /><Relationship Type="http://schemas.openxmlformats.org/officeDocument/2006/relationships/hyperlink" Id="rId141" Target="https://doi.org/10.1145/3299869.3320212" TargetMode="External" /><Relationship Type="http://schemas.openxmlformats.org/officeDocument/2006/relationships/hyperlink" Id="rId167" Target="https://doi.org/10.1145/3514228" TargetMode="External" /><Relationship Type="http://schemas.openxmlformats.org/officeDocument/2006/relationships/hyperlink" Id="rId162" Target="https://doi.org/10.2307/143141" TargetMode="External" /><Relationship Type="http://schemas.openxmlformats.org/officeDocument/2006/relationships/hyperlink" Id="rId122" Target="https://doi.org/10.2307/1939924" TargetMode="External" /><Relationship Type="http://schemas.openxmlformats.org/officeDocument/2006/relationships/hyperlink" Id="rId89" Target="https://doi.org/10.3390/rs10091438" TargetMode="External" /><Relationship Type="http://schemas.openxmlformats.org/officeDocument/2006/relationships/hyperlink" Id="rId95" Target="https://doi.org/10.3390/s20226442" TargetMode="External" /><Relationship Type="http://schemas.openxmlformats.org/officeDocument/2006/relationships/hyperlink" Id="rId130" Target="https://doi.org/10.5194/essd-13-4349-2021" TargetMode="External" /><Relationship Type="http://schemas.openxmlformats.org/officeDocument/2006/relationships/hyperlink" Id="rId160" Target="https://doi.org/10.5558/tfc65258-4" TargetMode="External" /><Relationship Type="http://schemas.openxmlformats.org/officeDocument/2006/relationships/hyperlink" Id="rId152" Target="https://doi.org/10.5772/28441" TargetMode="External" /><Relationship Type="http://schemas.openxmlformats.org/officeDocument/2006/relationships/hyperlink" Id="rId86"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5" Target="file:///Users/martinsanchez/Documents/Proyectos_PY/Incendios_PY/src/alerta.py" TargetMode="External" /><Relationship Type="http://schemas.openxmlformats.org/officeDocument/2006/relationships/hyperlink" Id="rId158" Target="http://queimadas.dgi.inpe.br" TargetMode="External" /><Relationship Type="http://schemas.openxmlformats.org/officeDocument/2006/relationships/hyperlink" Id="rId126" Target="https://chaco.mapbiomas.org/" TargetMode="External" /><Relationship Type="http://schemas.openxmlformats.org/officeDocument/2006/relationships/hyperlink" Id="rId109" Target="https://doi.org/10.1007/s10584-015-1521-0" TargetMode="External" /><Relationship Type="http://schemas.openxmlformats.org/officeDocument/2006/relationships/hyperlink" Id="rId119" Target="https://doi.org/10.1016/S0034-4257(02)00076-7" TargetMode="External" /><Relationship Type="http://schemas.openxmlformats.org/officeDocument/2006/relationships/hyperlink" Id="rId147" Target="https://doi.org/10.1016/j.envsoft.2014.03.003" TargetMode="External" /><Relationship Type="http://schemas.openxmlformats.org/officeDocument/2006/relationships/hyperlink" Id="rId154" Target="https://doi.org/10.1016/j.firesaf.2019.01.006" TargetMode="External" /><Relationship Type="http://schemas.openxmlformats.org/officeDocument/2006/relationships/hyperlink" Id="rId164" Target="https://doi.org/10.1016/j.jaridenv.2014.11.009" TargetMode="External" /><Relationship Type="http://schemas.openxmlformats.org/officeDocument/2006/relationships/hyperlink" Id="rId135" Target="https://doi.org/10.1016/j.pecon.2021.06.005" TargetMode="External" /><Relationship Type="http://schemas.openxmlformats.org/officeDocument/2006/relationships/hyperlink" Id="rId150" Target="https://doi.org/10.1016/j.rse.2008.05.013" TargetMode="External" /><Relationship Type="http://schemas.openxmlformats.org/officeDocument/2006/relationships/hyperlink" Id="rId156" Target="https://doi.org/10.1016/j.rse.2013.12.008" TargetMode="External" /><Relationship Type="http://schemas.openxmlformats.org/officeDocument/2006/relationships/hyperlink" Id="rId111" Target="https://doi.org/10.1016/j.rse.2016.02.054" TargetMode="External" /><Relationship Type="http://schemas.openxmlformats.org/officeDocument/2006/relationships/hyperlink" Id="rId113" Target="https://doi.org/10.1016/j.rse.2017.06.031" TargetMode="External" /><Relationship Type="http://schemas.openxmlformats.org/officeDocument/2006/relationships/hyperlink" Id="rId101" Target="https://doi.org/10.1016/j.rse.2019.02.013" TargetMode="External" /><Relationship Type="http://schemas.openxmlformats.org/officeDocument/2006/relationships/hyperlink" Id="rId169" Target="https://doi.org/10.1029/2005JD006318" TargetMode="External" /><Relationship Type="http://schemas.openxmlformats.org/officeDocument/2006/relationships/hyperlink" Id="rId117" Target="https://doi.org/10.1038/ncomms8537" TargetMode="External" /><Relationship Type="http://schemas.openxmlformats.org/officeDocument/2006/relationships/hyperlink" Id="rId138" Target="https://doi.org/10.1038/s41467-020-18321-y" TargetMode="External" /><Relationship Type="http://schemas.openxmlformats.org/officeDocument/2006/relationships/hyperlink" Id="rId143" Target="https://doi.org/10.1038/s41586-019-0912-1" TargetMode="External" /><Relationship Type="http://schemas.openxmlformats.org/officeDocument/2006/relationships/hyperlink" Id="rId93" Target="https://doi.org/10.1038/s41597-019-0312-2" TargetMode="External" /><Relationship Type="http://schemas.openxmlformats.org/officeDocument/2006/relationships/hyperlink" Id="rId124" Target="https://doi.org/10.1038/s42256-019-0138-9" TargetMode="External" /><Relationship Type="http://schemas.openxmlformats.org/officeDocument/2006/relationships/hyperlink" Id="rId107" Target="https://doi.org/10.1071/WF08187" TargetMode="External" /><Relationship Type="http://schemas.openxmlformats.org/officeDocument/2006/relationships/hyperlink" Id="rId91" Target="https://doi.org/10.1071/WF12167" TargetMode="External" /><Relationship Type="http://schemas.openxmlformats.org/officeDocument/2006/relationships/hyperlink" Id="rId103" Target="https://doi.org/10.1088/1748-9326/ab020e" TargetMode="External" /><Relationship Type="http://schemas.openxmlformats.org/officeDocument/2006/relationships/hyperlink" Id="rId128" Target="https://doi.org/10.1111/2041-210X.13650" TargetMode="External" /><Relationship Type="http://schemas.openxmlformats.org/officeDocument/2006/relationships/hyperlink" Id="rId145" Target="https://doi.org/10.1111/ecog.02881" TargetMode="External" /><Relationship Type="http://schemas.openxmlformats.org/officeDocument/2006/relationships/hyperlink" Id="rId97" Target="https://doi.org/10.1111/gcb.13521" TargetMode="External" /><Relationship Type="http://schemas.openxmlformats.org/officeDocument/2006/relationships/hyperlink" Id="rId105" Target="https://doi.org/10.1111/j.2007.0906-7590.05171.x" TargetMode="External" /><Relationship Type="http://schemas.openxmlformats.org/officeDocument/2006/relationships/hyperlink" Id="rId115" Target="https://doi.org/10.1139/er-2020-0019" TargetMode="External" /><Relationship Type="http://schemas.openxmlformats.org/officeDocument/2006/relationships/hyperlink" Id="rId132" Target="https://doi.org/10.1145/1102351.1102430" TargetMode="External" /><Relationship Type="http://schemas.openxmlformats.org/officeDocument/2006/relationships/hyperlink" Id="rId99" Target="https://doi.org/10.1145/2939672.2939785" TargetMode="External" /><Relationship Type="http://schemas.openxmlformats.org/officeDocument/2006/relationships/hyperlink" Id="rId141" Target="https://doi.org/10.1145/3299869.3320212" TargetMode="External" /><Relationship Type="http://schemas.openxmlformats.org/officeDocument/2006/relationships/hyperlink" Id="rId167" Target="https://doi.org/10.1145/3514228" TargetMode="External" /><Relationship Type="http://schemas.openxmlformats.org/officeDocument/2006/relationships/hyperlink" Id="rId162" Target="https://doi.org/10.2307/143141" TargetMode="External" /><Relationship Type="http://schemas.openxmlformats.org/officeDocument/2006/relationships/hyperlink" Id="rId122" Target="https://doi.org/10.2307/1939924" TargetMode="External" /><Relationship Type="http://schemas.openxmlformats.org/officeDocument/2006/relationships/hyperlink" Id="rId89" Target="https://doi.org/10.3390/rs10091438" TargetMode="External" /><Relationship Type="http://schemas.openxmlformats.org/officeDocument/2006/relationships/hyperlink" Id="rId95" Target="https://doi.org/10.3390/s20226442" TargetMode="External" /><Relationship Type="http://schemas.openxmlformats.org/officeDocument/2006/relationships/hyperlink" Id="rId130" Target="https://doi.org/10.5194/essd-13-4349-2021" TargetMode="External" /><Relationship Type="http://schemas.openxmlformats.org/officeDocument/2006/relationships/hyperlink" Id="rId160" Target="https://doi.org/10.5558/tfc65258-4" TargetMode="External" /><Relationship Type="http://schemas.openxmlformats.org/officeDocument/2006/relationships/hyperlink" Id="rId152" Target="https://doi.org/10.5772/28441" TargetMode="External" /><Relationship Type="http://schemas.openxmlformats.org/officeDocument/2006/relationships/hyperlink" Id="rId86"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2026-10-25T09:18:33Z</dcterms:created>
  <dcterms:modified xsi:type="dcterms:W3CDTF">2026-10-25T09:18:33Z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2026-10-25</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