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Un holdout independiente de bloques de confirmación 2023 retuvo a M2 como el mejor modelo (0.6871/0.6621), por delante de M3 (0.6757/0.6344) y M1 (0.6435/0.6388).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tres componentes computacionales reutilizables. El aprendiz es intencionalmente reemplazable: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mapas anuales de MapBiomas Colección 2 (2017–2023), unidos a cada fila con el mapa del año previo;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Se implementó un baseline acoplado t-1 sobre la muestra gated combinada y no superó materialmente a la arquitectura desacoplada (Tabla S19); como usa la misma muestra gated, no prueba la eliminación del gating.</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exclusión de 10 días en la misma celda se mantuvo como default operativo; las ventanas 7/10/14 d y los radios 15/25/35 km se reestimaron con reentrenamiento completo y no cambiaron el ranking de modelos (Tabla S20).</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comparador acoplado t-1 se reporta en la Tabla S19 del suplemento y el holdout independiente de confirmación en la Tabla S18. El trabajo futuro debería añadir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05" w:name="referencias"/>
    <w:p>
      <w:pPr>
        <w:pStyle w:val="Heading1"/>
      </w:pPr>
      <w:r>
        <w:t xml:space="preserve">Referencias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2026-10-28T10:55:11Z</dcterms:created>
  <dcterms:modified xsi:type="dcterms:W3CDTF">2026-10-28T10:55:11Z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