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material_suplementario.pdf</w:t>
      </w:r>
      <w:r>
        <w:t xml:space="preserve"> </w:t>
      </w:r>
      <w:r>
        <w:t xml:space="preserve">— Notes S1–S3, Tables S1–S20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S1–S20:</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and data audit.</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Because four main comparisons are made against FWI and INPE, the significance statements are a conservative screening result rather than multiplicity-adjusted inference. The bootstrap resolution is 0.001.</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against FWI and INPE, grouped by date (retrospective 2024–2025 test).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value</w:t>
            </w:r>
          </w:p>
        </w:tc>
        <w:tc>
          <w:tcPr/>
          <w:p>
            <w:pPr>
              <w:pStyle w:val="Compact"/>
            </w:pPr>
            <w:r>
              <w:t xml:space="preserve">Bootstrap replicates</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1000</w:t>
            </w:r>
          </w:p>
        </w:tc>
      </w:tr>
    </w:tbl>
    <w:p>
      <w:pPr>
        <w:pStyle w:val="BodyText"/>
      </w:pPr>
      <w:r>
        <w:t xml:space="preserve">The comparison uses B = 1,000 grouped-by-date bootstrap replicates.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2026-10-28T10:55:26Z</dcterms:created>
  <dcterms:modified xsi:type="dcterms:W3CDTF">2026-10-28T10:55:26Z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