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Notes S1–S3, Tables S1–S21 and S27 and Figures S1–S3 and S8.</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v2.0.1).</w:t>
      </w:r>
      <w:r>
        <w:br/>
      </w:r>
      <w:r>
        <w:rPr>
          <w:b/>
          <w:bCs/>
        </w:rPr>
        <w:t xml:space="preserve">Data:</w:t>
      </w:r>
      <w:r>
        <w:t xml:space="preserve"> </w:t>
      </w:r>
      <w:r>
        <w:t xml:space="preserve">processed data and test predictions are available in the v2.0.1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S1–S21 and S27:</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and a train/test overlap sensitivity.</w:t>
      </w:r>
    </w:p>
    <w:p>
      <w:pPr>
        <w:pStyle w:val="BodyText"/>
      </w:pPr>
      <w:r>
        <w:t xml:space="preserve">•</w:t>
      </w:r>
      <w:r>
        <w:t xml:space="preserve"> </w:t>
      </w:r>
      <w:r>
        <w:rPr>
          <w:b/>
          <w:bCs/>
        </w:rPr>
        <w:t xml:space="preserve">Figures S1–S3 and S8:</w:t>
      </w:r>
      <w:r>
        <w:t xml:space="preserve"> </w:t>
      </w:r>
      <w:r>
        <w:t xml:space="preserve">SHAP, ablation, cost-loss and alert-budget precision.</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7"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FWI is reported on the Canadian index scale (0.3029 in Chaco, 2.1509 in Oriental) and INPE on a 0–1 risk scale (0.8963 in Chaco, 0.0750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entregables/figuras/supp_fig01_shap.png" id="17" name="Picture"/>
                    <pic:cNvPicPr>
                      <a:picLocks noChangeArrowheads="1" noChangeAspect="1"/>
                    </pic:cNvPicPr>
                  </pic:nvPicPr>
                  <pic:blipFill>
                    <a:blip r:embed="rId1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460274"/>
            <wp:effectExtent b="0" l="0" r="0" t="0"/>
            <wp:docPr descr="Figure S2. Controlled ablation under the D2 test. The figure complements Table S12." title="" id="19" name="Picture"/>
            <a:graphic>
              <a:graphicData uri="http://schemas.openxmlformats.org/drawingml/2006/picture">
                <pic:pic>
                  <pic:nvPicPr>
                    <pic:cNvPr descr="../../entregables/figuras/supp_fig02_ablacion.png" id="20" name="Picture"/>
                    <pic:cNvPicPr>
                      <a:picLocks noChangeArrowheads="1" noChangeAspect="1"/>
                    </pic:cNvPicPr>
                  </pic:nvPicPr>
                  <pic:blipFill>
                    <a:blip r:embed="rId1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2454"/>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entregables/figuras/supp_fig03_cost_loss.png" id="23" name="Picture"/>
                    <pic:cNvPicPr>
                      <a:picLocks noChangeArrowheads="1" noChangeAspect="1"/>
                    </pic:cNvPicPr>
                  </pic:nvPicPr>
                  <pic:blipFill>
                    <a:blip r:embed="rId21"/>
                    <a:stretch>
                      <a:fillRect/>
                    </a:stretch>
                  </pic:blipFill>
                  <pic:spPr bwMode="auto">
                    <a:xfrm>
                      <a:off x="0" y="0"/>
                      <a:ext cx="8252460" cy="329245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25" name="Picture"/>
            <a:graphic>
              <a:graphicData uri="http://schemas.openxmlformats.org/drawingml/2006/picture">
                <pic:pic>
                  <pic:nvPicPr>
                    <pic:cNvPr descr="../../entregables/figuras/supp_fig08_presupuesto_alertas.png" id="26" name="Picture"/>
                    <pic:cNvPicPr>
                      <a:picLocks noChangeArrowheads="1" noChangeAspect="1"/>
                    </pic:cNvPicPr>
                  </pic:nvPicPr>
                  <pic:blipFill>
                    <a:blip r:embed="rId24"/>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bookmarkEnd w:id="27"/>
    <w:bookmarkStart w:id="28" w:name="data-availability"/>
    <w:p>
      <w:pPr>
        <w:pStyle w:val="Heading1"/>
      </w:pPr>
      <w:r>
        <w:t xml:space="preserve">Data availability</w:t>
      </w:r>
    </w:p>
    <w:p>
      <w:pPr>
        <w:pStyle w:val="FirstParagraph"/>
      </w:pPr>
      <w:r>
        <w:t xml:space="preserve">Processed data, test predictions, trained models and derived tables are available in the v2.0.1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8"/>
    <w:bookmarkStart w:id="29"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9"/>
    <w:bookmarkStart w:id="44" w:name="references"/>
    <w:p>
      <w:pPr>
        <w:pStyle w:val="Heading1"/>
      </w:pPr>
      <w:r>
        <w:t xml:space="preserve">References</w:t>
      </w:r>
    </w:p>
    <w:bookmarkStart w:id="43" w:name="refs"/>
    <w:bookmarkStart w:id="30"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30"/>
    <w:bookmarkStart w:id="32"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31">
        <w:r>
          <w:rPr>
            <w:rStyle w:val="Hyperlink"/>
          </w:rPr>
          <w:t xml:space="preserve">https://chaco.mapbiomas.org/</w:t>
        </w:r>
      </w:hyperlink>
      <w:r>
        <w:t xml:space="preserve">.</w:t>
      </w:r>
    </w:p>
    <w:bookmarkEnd w:id="32"/>
    <w:bookmarkStart w:id="3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3">
        <w:r>
          <w:rPr>
            <w:rStyle w:val="Hyperlink"/>
          </w:rPr>
          <w:t xml:space="preserve">https://doi.org/10.5194/essd-13-4349-2021</w:t>
        </w:r>
      </w:hyperlink>
    </w:p>
    <w:bookmarkEnd w:id="34"/>
    <w:bookmarkStart w:id="36"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5">
        <w:r>
          <w:rPr>
            <w:rStyle w:val="Hyperlink"/>
          </w:rPr>
          <w:t xml:space="preserve">https://firms.modaps.eosdis.nasa.gov/</w:t>
        </w:r>
      </w:hyperlink>
      <w:r>
        <w:t xml:space="preserve">.</w:t>
      </w:r>
    </w:p>
    <w:bookmarkEnd w:id="36"/>
    <w:bookmarkStart w:id="3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7"/>
    <w:bookmarkStart w:id="39"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8">
        <w:r>
          <w:rPr>
            <w:rStyle w:val="Hyperlink"/>
          </w:rPr>
          <w:t xml:space="preserve">https://doi.org/10.1016/j.rse.2013.12.008</w:t>
        </w:r>
      </w:hyperlink>
    </w:p>
    <w:bookmarkEnd w:id="39"/>
    <w:bookmarkStart w:id="4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40">
        <w:r>
          <w:rPr>
            <w:rStyle w:val="Hyperlink"/>
          </w:rPr>
          <w:t xml:space="preserve">http://queimadas.dgi.inpe.br</w:t>
        </w:r>
      </w:hyperlink>
    </w:p>
    <w:bookmarkEnd w:id="41"/>
    <w:bookmarkStart w:id="42"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42"/>
    <w:bookmarkEnd w:id="43"/>
    <w:bookmarkEnd w:id="44"/>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40" Target="http://queimadas.dgi.inpe.br" TargetMode="External" /><Relationship Type="http://schemas.openxmlformats.org/officeDocument/2006/relationships/hyperlink" Id="rId31" Target="https://chaco.mapbiomas.org/" TargetMode="External" /><Relationship Type="http://schemas.openxmlformats.org/officeDocument/2006/relationships/hyperlink" Id="rId38" Target="https://doi.org/10.1016/j.rse.2013.12.008" TargetMode="External" /><Relationship Type="http://schemas.openxmlformats.org/officeDocument/2006/relationships/hyperlink" Id="rId33"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5"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0" Target="http://queimadas.dgi.inpe.br" TargetMode="External" /><Relationship Type="http://schemas.openxmlformats.org/officeDocument/2006/relationships/hyperlink" Id="rId31" Target="https://chaco.mapbiomas.org/" TargetMode="External" /><Relationship Type="http://schemas.openxmlformats.org/officeDocument/2006/relationships/hyperlink" Id="rId38" Target="https://doi.org/10.1016/j.rse.2013.12.008" TargetMode="External" /><Relationship Type="http://schemas.openxmlformats.org/officeDocument/2006/relationships/hyperlink" Id="rId33"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5"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2026-10-28T19:31:52Z</dcterms:created>
  <dcterms:modified xsi:type="dcterms:W3CDTF">2026-10-28T19:31:52Z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