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rPr>
          <w:rFonts w:ascii="Times New Roman" w:hAnsi="Times New Roman" w:cs="Times New Roman" w:eastAsia="Times New Roman"/>
          <w:sz w:val="28"/>
        </w:rPr>
        <w:t xml:space="preserve">Highlights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D2 formally separates primary ignition from tactical fire spread.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Gated M3/M2 inference links calibration, spatial blocks and cost-loss.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M3 outperforms full Canadian FWI and INPE under the same retrospective D2 test.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Spatial block holdout shows where the hybrid model does not transfer.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National inference runs in 3.47 s and 2.21 GB peak RAM on ARM64.</w:t>
      </w:r>
    </w:p>
    <w:bookmarkEnd w:id="9"/>
    <w:sectPr>
      <w:footerReference w:type="default" r:id="rId9"/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0"/>
      </w:rPr>
      <w:t>Sánchez Insfrán: Preprint submitted to Elsevier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hAnsi="Times New Roman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hAnsi="Times New Roman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hAnsi="Times New Roman"/>
      <w:sz w:val="20"/>
    </w:rPr>
  </w:style>
  <w:style w:customStyle="1" w:styleId="Compact" w:type="paragraph">
    <w:name w:val="Compact"/>
    <w:basedOn w:val="BodyText"/>
    <w:qFormat/>
    <w:pPr>
      <w:spacing w:after="36" w:before="36" w:line="480" w:lineRule="auto"/>
    </w:pPr>
    <w:rPr>
      <w:rFonts w:ascii="Times New Roman" w:hAnsi="Times New Roman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48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b w:val="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="480" w:lineRule="auto"/>
    </w:pPr>
    <w:rPr>
      <w:rFonts w:ascii="Times New Roman" w:hAnsi="Times New Roman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line="480" w:lineRule="auto"/>
    </w:pPr>
    <w:rPr>
      <w:rFonts w:ascii="Times New Roman" w:hAnsi="Times New Roman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480" w:lineRule="auto"/>
      <w:outlineLvl w:val="0"/>
    </w:pPr>
    <w:rPr>
      <w:rFonts w:asciiTheme="majorHAnsi" w:cstheme="majorBidi" w:eastAsiaTheme="majorEastAsia" w:hAnsiTheme="majorHAnsi" w:ascii="Times New Roman" w:hAnsi="Times New Roman"/>
      <w:b w:val="0"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2026-10-28T13:31:40Z</dcterms:created>
  <dcterms:modified xsi:type="dcterms:W3CDTF">2026-10-28T13:31:40Z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