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 Page</w:t>
      </w:r>
    </w:p>
    <w:p>
      <w:pPr>
        <w:pStyle w:val="Subtitle"/>
      </w:pPr>
      <w:r>
        <w:t xml:space="preserve">Un marco computacional reproducible para el desacoplamiento y benchmarking de ignición y propagación de incendios en el Gran Chaco (2018–2025)</w:t>
      </w:r>
    </w:p>
    <w:p>
      <w:pPr>
        <w:pStyle w:val="Date"/>
      </w:pPr>
      <w:r>
        <w:t xml:space="preserve">2026-10-28</w:t>
      </w:r>
    </w:p>
    <w:bookmarkStart w:id="9" w:name="X91b8e933fbe09d3a75c28ccb4dc2bb04727a969"/>
    <w:p>
      <w:pPr>
        <w:pStyle w:val="Heading1"/>
      </w:pPr>
      <w:r>
        <w:t xml:space="preserve">1. Información del Manuscrito / Article Details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Título Principal (Español):</w:t>
      </w:r>
      <w:r>
        <w:br/>
      </w:r>
      <w:r>
        <w:rPr>
          <w:i/>
          <w:iCs/>
        </w:rPr>
        <w:t xml:space="preserve">Un marco computacional reproducible para el desacoplamiento y benchmarking de ignición y propagación de incendios en el Gran Chaco (2018–2025)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Subtítulo (Español):</w:t>
      </w:r>
      <w:r>
        <w:br/>
      </w:r>
      <w:r>
        <w:rPr>
          <w:i/>
          <w:iCs/>
        </w:rPr>
        <w:t xml:space="preserve">Targets D2, inferencia con gating y fallback M2/M3, y benchmark abierto frente a Canadian FWI e INPE Risco de Fogo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Title (English):</w:t>
      </w:r>
      <w:r>
        <w:br/>
      </w:r>
      <w:r>
        <w:rPr>
          <w:i/>
          <w:iCs/>
        </w:rPr>
        <w:t xml:space="preserve">A reproducible computational framework for decoupled wildfire ignition and propagation benchmarking in the Gran Chaco (2018–2025)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Subtitle (English):</w:t>
      </w:r>
      <w:r>
        <w:br/>
      </w:r>
      <w:r>
        <w:rPr>
          <w:i/>
          <w:iCs/>
        </w:rPr>
        <w:t xml:space="preserve">D2 targets, M3/M2 inference and an open benchmark against Canadian FWI and INPE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Título Corto / Running Head:</w:t>
      </w:r>
      <w:r>
        <w:br/>
      </w:r>
      <w:r>
        <w:rPr>
          <w:i/>
          <w:iCs/>
        </w:rPr>
        <w:t xml:space="preserve">Reproducible Decoupled Wildfire Benchmarking in the Gran Chaco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Revista Objetivo / Target Journal:</w:t>
      </w:r>
      <w:r>
        <w:br/>
      </w:r>
      <w:r>
        <w:rPr>
          <w:i/>
          <w:iCs/>
        </w:rPr>
        <w:t xml:space="preserve">Computers &amp; Geosciences</w:t>
      </w:r>
      <w:r>
        <w:t xml:space="preserve"> </w:t>
      </w:r>
      <w:r>
        <w:t xml:space="preserve">(Elsevier, ISSN: 0098-3004)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Áreas Temáticas de la Revista:</w:t>
      </w:r>
      <w:r>
        <w:br/>
      </w:r>
      <w:r>
        <w:rPr>
          <w:i/>
          <w:iCs/>
        </w:rPr>
        <w:t xml:space="preserve">Computer Science Applications</w:t>
      </w:r>
      <w:r>
        <w:t xml:space="preserve"> </w:t>
      </w:r>
      <w:r>
        <w:t xml:space="preserve">&amp;</w:t>
      </w:r>
      <w:r>
        <w:t xml:space="preserve"> </w:t>
      </w:r>
      <w:r>
        <w:rPr>
          <w:i/>
          <w:iCs/>
        </w:rPr>
        <w:t xml:space="preserve">Earth and Planetary Sciences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Modalidad de Revisión / Peer Review Track:</w:t>
      </w:r>
      <w:r>
        <w:br/>
      </w:r>
      <w:r>
        <w:t xml:space="preserve">Revisión de un solo anonimizado (</w:t>
      </w:r>
      <w:r>
        <w:rPr>
          <w:i/>
          <w:iCs/>
        </w:rPr>
        <w:t xml:space="preserve">Single-Anonymized Peer Review</w:t>
      </w:r>
      <w:r>
        <w:t xml:space="preserve">, política de C&amp;G)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Tipo de Artículo / Article Type:</w:t>
      </w:r>
      <w:r>
        <w:br/>
      </w:r>
      <w:r>
        <w:rPr>
          <w:i/>
          <w:iCs/>
        </w:rPr>
        <w:t xml:space="preserve">Research Paper</w:t>
      </w:r>
      <w:r>
        <w:t xml:space="preserve"> </w:t>
      </w:r>
      <w:r>
        <w:t xml:space="preserve">(Metodología Computacional y Algorítmica en Geociencias)</w:t>
      </w:r>
    </w:p>
    <w:p>
      <w:r>
        <w:pict>
          <v:rect style="width:0;height:1.5pt" o:hralign="center" o:hrstd="t" o:hr="t"/>
        </w:pict>
      </w:r>
    </w:p>
    <w:bookmarkEnd w:id="9"/>
    <w:bookmarkStart w:id="11" w:name="Xfb8a93190f39b9b145f294f58bd1a7ddd9c53de"/>
    <w:p>
      <w:pPr>
        <w:pStyle w:val="Heading1"/>
      </w:pPr>
      <w:r>
        <w:t xml:space="preserve">2. Autores y Afiliaciones / Authors and Affiliations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Autor / Corresponding author:</w:t>
      </w:r>
      <w:r>
        <w:br/>
      </w:r>
      <w:r>
        <w:rPr>
          <w:b/>
          <w:bCs/>
        </w:rPr>
        <w:t xml:space="preserve">Martín Sánchez Insfrán, MD</w:t>
      </w:r>
      <w:r>
        <w:br/>
      </w:r>
      <w:r>
        <w:rPr>
          <w:i/>
          <w:iCs/>
        </w:rPr>
        <w:t xml:space="preserve">Investigador Independiente / Médico Cirujano</w:t>
      </w:r>
      <w:r>
        <w:br/>
      </w:r>
      <w:r>
        <w:t xml:space="preserve">Asunción, Paraguay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Dirección postal / Postal address:</w:t>
      </w:r>
      <w:r>
        <w:t xml:space="preserve"> </w:t>
      </w:r>
      <w:r>
        <w:t xml:space="preserve">Asunción, Paraguay</w:t>
      </w:r>
      <w:r>
        <w:br/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Teléfono / Telephone:</w:t>
      </w:r>
      <w:r>
        <w:t xml:space="preserve"> </w:t>
      </w:r>
      <w:r>
        <w:t xml:space="preserve">+595 971 907 727</w:t>
      </w:r>
      <w:r>
        <w:br/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ORCID:</w:t>
      </w:r>
      <w:r>
        <w:t xml:space="preserve"> </w:t>
      </w:r>
      <w:hyperlink r:id="rId10">
        <w:r>
          <w:rPr>
            <w:rStyle w:val="Hyperlink"/>
          </w:rPr>
          <w:t xml:space="preserve">0000-0003-4138-9668</w:t>
        </w:r>
      </w:hyperlink>
      <w:r>
        <w:br/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Email:</w:t>
      </w:r>
      <w:r>
        <w:t xml:space="preserve"> </w:t>
      </w:r>
      <w:r>
        <w:rPr>
          <w:rStyle w:val="VerbatimChar"/>
        </w:rPr>
        <w:t xml:space="preserve">sanchez.martin093@gmail.com</w:t>
      </w:r>
      <w:r>
        <w:br/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Rol:</w:t>
      </w:r>
      <w:r>
        <w:t xml:space="preserve"> </w:t>
      </w:r>
      <w:r>
        <w:t xml:space="preserve">Conceptualización, diseño de arquitectura de software, ingeniería de datos espaciales, modelado predictivo, benchmarking, redacción y validación.</w:t>
      </w:r>
    </w:p>
    <w:p>
      <w:r>
        <w:pict>
          <v:rect style="width:0;height:1.5pt" o:hralign="center" o:hrstd="t" o:hr="t"/>
        </w:pict>
      </w:r>
    </w:p>
    <w:bookmarkEnd w:id="11"/>
    <w:bookmarkStart w:id="12" w:name="X8ab1327f2b895b77afb78b769bce3bafbc6d551"/>
    <w:p>
      <w:pPr>
        <w:pStyle w:val="Heading1"/>
      </w:pPr>
      <w:r>
        <w:t xml:space="preserve">3. Aspectos Destacados / Highlights (Obligatorio en Elsevier)</w:t>
      </w:r>
    </w:p>
    <w:p>
      <w:pPr>
        <w:pStyle w:val="BlockText"/>
      </w:pPr>
      <w:r>
        <w:rPr>
          <w:i/>
          <w:iCs/>
        </w:rPr>
        <w:t xml:space="preserve">Lineamientos de Computers &amp; Geosciences: 3 a 5 puntos concisos, máximo 85 caracteres cada uno (incluidos espacios).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D2 formally separates primary ignition from tactical fire spread.</w:t>
      </w:r>
      <w:r>
        <w:t xml:space="preserve"> </w:t>
      </w:r>
      <w:r>
        <w:t xml:space="preserve">(61 chars)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Gated M3/M2 inference links calibration, spatial blocks and cost-loss.</w:t>
      </w:r>
      <w:r>
        <w:t xml:space="preserve"> </w:t>
      </w:r>
      <w:r>
        <w:t xml:space="preserve">(69 chars)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M3 outperforms full Canadian FWI and INPE under the same retrospective D2 test.</w:t>
      </w:r>
      <w:r>
        <w:t xml:space="preserve"> </w:t>
      </w:r>
      <w:r>
        <w:t xml:space="preserve">(71 chars)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Spatial block holdout shows where the hybrid model does not transfer.</w:t>
      </w:r>
      <w:r>
        <w:t xml:space="preserve"> </w:t>
      </w:r>
      <w:r>
        <w:t xml:space="preserve">(70 chars)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National inference runs in 3.47 s and 2.21 GB peak RAM on ARM64.</w:t>
      </w:r>
      <w:r>
        <w:t xml:space="preserve"> </w:t>
      </w:r>
      <w:r>
        <w:t xml:space="preserve">(62 chars)</w:t>
      </w:r>
    </w:p>
    <w:p>
      <w:r>
        <w:pict>
          <v:rect style="width:0;height:1.5pt" o:hralign="center" o:hrstd="t" o:hr="t"/>
        </w:pict>
      </w:r>
    </w:p>
    <w:bookmarkEnd w:id="12"/>
    <w:bookmarkStart w:id="16" w:name="resumen-gráfico-graphical-abstract"/>
    <w:p>
      <w:pPr>
        <w:pStyle w:val="Heading1"/>
      </w:pPr>
      <w:r>
        <w:t xml:space="preserve">4. Resumen Gráfico / Graphical Abstract</w:t>
      </w:r>
    </w:p>
    <w:p>
      <w:pPr>
        <w:pStyle w:val="FirstParagraph"/>
      </w:pPr>
      <w:r>
        <w:drawing>
          <wp:inline>
            <wp:extent cx="4054501" cy="1621189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../../entregables/maestros/graphical_abstract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4501" cy="1621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Graphical abstract.</w:t>
      </w:r>
      <w:r>
        <w:t xml:space="preserve"> </w:t>
      </w:r>
      <w:r>
        <w:t xml:space="preserve">Decoupled D2 targets, M3/M2 inference, causal t-1 propagation and a retrospective benchmark against FWI and INPE. The visual uses only current, traceable results.</w:t>
      </w:r>
    </w:p>
    <w:p>
      <w:r>
        <w:pict>
          <v:rect style="width:0;height:1.5pt" o:hralign="center" o:hrstd="t" o:hr="t"/>
        </w:pict>
      </w:r>
    </w:p>
    <w:bookmarkEnd w:id="16"/>
    <w:bookmarkStart w:id="19" w:name="resumen-abstract-keywords"/>
    <w:p>
      <w:pPr>
        <w:pStyle w:val="Heading1"/>
      </w:pPr>
      <w:r>
        <w:t xml:space="preserve">5. Resumen / Abstract &amp; Keywords</w:t>
      </w:r>
    </w:p>
    <w:bookmarkStart w:id="17" w:name="resumen-español"/>
    <w:p>
      <w:pPr>
        <w:pStyle w:val="Heading3"/>
      </w:pPr>
      <w:r>
        <w:t xml:space="preserve">Resumen (Español)</w:t>
      </w:r>
    </w:p>
    <w:p>
      <w:pPr>
        <w:pStyle w:val="FirstParagraph"/>
      </w:pPr>
      <w:r>
        <w:t xml:space="preserve">La predicción de incendios con aprendizaje automático suele sufrir fugas espaciales y una transferibilidad limitada de los índices boreales a biomas subtropicales. Para la grilla de 1 km² del Chaco y la Región Oriental del Paraguay (2018–2025), presentamos D2, un operador de objetivos computacional que separa formalmente la ignición primaria de la propagación táctica, y un marco de inferencia con gating y evaluación que hace explícitos la construcción del objetivo, el control de fuga y la comparación de modelos. D2 define la ignición como fuego en el día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sin fuego a menos de 25 km en</w:t>
      </w:r>
      <w:r>
        <w:t xml:space="preserve"> </w:t>
      </w:r>
      <w:r>
        <w:rPr>
          <w:i/>
          <w:iCs/>
        </w:rPr>
        <w:t xml:space="preserve">t</w:t>
      </w:r>
      <w:r>
        <w:t xml:space="preserve">−1 ni en la misma celda durante los 10 días previos; la propagación se evalúa a menos de 25 km de un fuego en</w:t>
      </w:r>
      <w:r>
        <w:t xml:space="preserve"> </w:t>
      </w:r>
      <w:r>
        <w:rPr>
          <w:i/>
          <w:iCs/>
        </w:rPr>
        <w:t xml:space="preserve">t</w:t>
      </w:r>
      <w:r>
        <w:t xml:space="preserve">−1. Un filtro biofísico descarta celdas-día no combustibles o húmedas. Un modelo híbrido LightGBM (M3) predice la ignición sin variables de fuego en</w:t>
      </w:r>
      <w:r>
        <w:t xml:space="preserve"> </w:t>
      </w:r>
      <w:r>
        <w:rPr>
          <w:i/>
          <w:iCs/>
        </w:rPr>
        <w:t xml:space="preserve">t</w:t>
      </w:r>
      <w:r>
        <w:t xml:space="preserve">−1, empleando M2 como respaldo para celdas sin historia y M1 como línea base biofísica. En la validación de 2023, M3 alcanza ROC-AUC 0.7844/0.7628 (Chaco/Oriental) frente a 0.7817/0.7496 de M2. En bloques espaciales de 2023, M2 es el más robusto (0.6773/0.7470) y M1 no supera a M2 en celdas sin historia. Un holdout independiente de confirmación retuvo también a M2 (0.6871/0.6621). En el test retrospectivo 2024–2025, M3 alcanza 0.8021/0.7534 frente a 0.5059/0.5611 del Canadian Forest Fire Weather Index (FWI) y 0.5266/0.4973 del INPE Risco de Fogo; la propagación alcanza 0.9039/0.7859. La precisión poblacional de ignición es 0.082 %/0.198 %, lo que confirma que el sistema es una herramienta de nowcast y priorización y no un sistema de alerta autónomo. La contribución reside en el operador D2, la inferencia con gating y el arnés de evaluación abiertos, publicados como software reproducible.</w:t>
      </w:r>
    </w:p>
    <w:p>
      <w:pPr>
        <w:pStyle w:val="BodyText"/>
      </w:pPr>
      <w:r>
        <w:rPr>
          <w:b/>
          <w:bCs/>
        </w:rPr>
        <w:t xml:space="preserve">Palabras clave:</w:t>
      </w:r>
      <w:r>
        <w:t xml:space="preserve"> </w:t>
      </w:r>
      <w:r>
        <w:t xml:space="preserve">Nowcasting de incendios; GeoAI; reproducibilidad; validación espacial; LightGBM; Gran Chaco.</w:t>
      </w:r>
    </w:p>
    <w:p>
      <w:r>
        <w:pict>
          <v:rect style="width:0;height:1.5pt" o:hralign="center" o:hrstd="t" o:hr="t"/>
        </w:pict>
      </w:r>
    </w:p>
    <w:bookmarkEnd w:id="17"/>
    <w:bookmarkStart w:id="18" w:name="abstract-english"/>
    <w:p>
      <w:pPr>
        <w:pStyle w:val="Heading3"/>
      </w:pPr>
      <w:r>
        <w:t xml:space="preserve">Abstract (English)</w:t>
      </w:r>
    </w:p>
    <w:p>
      <w:pPr>
        <w:pStyle w:val="FirstParagraph"/>
      </w:pPr>
      <w:r>
        <w:t xml:space="preserve">Wildfire machine learning often suffers from spatial leakage and the limited transferability of boreal fire-weather indices to subtropical biomes. For Paraguay’s 1-km² Chaco–Oriental grid (2018–2025), we introduce D2, a computational target operator that formally separates primary ignition from tactical propagation, and a gated inference and evaluation framework that makes target construction, leakage control and model comparison explicit. D2 defines ignition as fire on day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with no fire within 25 km on day</w:t>
      </w:r>
      <w:r>
        <w:t xml:space="preserve"> </w:t>
      </w:r>
      <w:r>
        <w:rPr>
          <w:i/>
          <w:iCs/>
        </w:rPr>
        <w:t xml:space="preserve">t</w:t>
      </w:r>
      <w:r>
        <w:t xml:space="preserve">−1 and no same-cell fire in the previous 10 days; propagation is evaluated within 25 km of a day</w:t>
      </w:r>
      <w:r>
        <w:t xml:space="preserve"> </w:t>
      </w:r>
      <w:r>
        <w:rPr>
          <w:i/>
          <w:iCs/>
        </w:rPr>
        <w:t xml:space="preserve">t</w:t>
      </w:r>
      <w:r>
        <w:t xml:space="preserve">−1 fire. A biophysical gate removes non-combustible and wet cell-days. A hybrid LightGBM model (M3) predicts ignition without day</w:t>
      </w:r>
      <w:r>
        <w:t xml:space="preserve"> </w:t>
      </w:r>
      <w:r>
        <w:rPr>
          <w:i/>
          <w:iCs/>
        </w:rPr>
        <w:t xml:space="preserve">t</w:t>
      </w:r>
      <w:r>
        <w:t xml:space="preserve">−1 fire inputs, using M2 as a fallback for cells without history and M1 as a biophysical baseline. On 2023 validation, M3 reaches an area under the receiver operating characteristic curve (ROC-AUC) of 0.7844/0.7628 (Chaco/Oriental) versus 0.7817/0.7496 for M2. In 2023 spatial blocks, M2 is most robust (0.6773/0.7470); M1 does not beat M2 on cells without history. An independent confirmation holdout also retained M2 (0.6871/0.6621). On the retrospective 2024–2025 test, M3 reaches 0.8021/0.7534 versus 0.5059/0.5611 for the Canadian Forest Fire Weather Index (FWI) and 0.5266/0.4973 for the INPE Risco de Fogo; propagation reaches 0.9039/0.7859. Population-level ignition precision is 0.082 %/0.198 %, confirming that the system is a nowcasting and prioritization tool rather than a stand-alone warning system. The contribution lies in the open D2 operator, gated inference and evaluation harness, released as reproducible software.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Wildfire nowcasting; GeoAI; reproducibility; spatial cross-validation; LightGBM; Gran Chaco.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32" w:name="Xc3df9541fd9aa2ebc242b360f3fcbbede422e9d"/>
    <w:p>
      <w:pPr>
        <w:pStyle w:val="Heading1"/>
      </w:pPr>
      <w:r>
        <w:t xml:space="preserve">6. Declaraciones Obligatorias de Elsevier / Declarations</w:t>
      </w:r>
    </w:p>
    <w:bookmarkStart w:id="23" w:name="X70f8decb7765084b7f9d2e73c83f15df9b20afc"/>
    <w:p>
      <w:pPr>
        <w:pStyle w:val="Heading3"/>
      </w:pPr>
      <w:r>
        <w:t xml:space="preserve">A. Disponibilidad del Código Computacional / Computer Code Availability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Nombre del Software:</w:t>
      </w:r>
      <w:r>
        <w:t xml:space="preserve"> </w:t>
      </w:r>
      <w:r>
        <w:rPr>
          <w:rStyle w:val="VerbatimChar"/>
        </w:rPr>
        <w:t xml:space="preserve">Incendios_PY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Desarrollador / Contacto:</w:t>
      </w:r>
      <w:r>
        <w:t xml:space="preserve"> </w:t>
      </w:r>
      <w:r>
        <w:t xml:space="preserve">Martín Sánchez Insfrán (</w:t>
      </w:r>
      <w:r>
        <w:rPr>
          <w:rStyle w:val="VerbatimChar"/>
        </w:rPr>
        <w:t xml:space="preserve">sanchez.martin093@gmail.com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Año de Primera Disponibilidad:</w:t>
      </w:r>
      <w:r>
        <w:t xml:space="preserve"> </w:t>
      </w:r>
      <w:r>
        <w:t xml:space="preserve">2026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Hardware Requerido:</w:t>
      </w:r>
      <w:r>
        <w:t xml:space="preserve"> </w:t>
      </w:r>
      <w:r>
        <w:t xml:space="preserve">Procesador multinúcleo x86_64 o ARM64 (Apple Silicon M-Series o procesador estándar Intel/AMD); mínimo 8 GB de RAM.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Software Requerido:</w:t>
      </w:r>
      <w:r>
        <w:t xml:space="preserve"> </w:t>
      </w:r>
      <w:r>
        <w:t xml:space="preserve">Python 3.12+, DuckDB</w:t>
      </w:r>
      <w:r>
        <w:t xml:space="preserve"> </w:t>
      </w:r>
      <m:oMath>
        <m:r>
          <m:rPr>
            <m:sty m:val="p"/>
          </m:rPr>
          <m:t>≥</m:t>
        </m:r>
        <m:r>
          <m:t>1.0</m:t>
        </m:r>
      </m:oMath>
      <w:r>
        <w:t xml:space="preserve">, Polars</w:t>
      </w:r>
      <w:r>
        <w:t xml:space="preserve"> </w:t>
      </w:r>
      <m:oMath>
        <m:r>
          <m:rPr>
            <m:sty m:val="p"/>
          </m:rPr>
          <m:t>≥</m:t>
        </m:r>
        <m:r>
          <m:t>1.0</m:t>
        </m:r>
      </m:oMath>
      <w:r>
        <w:t xml:space="preserve">, LightGBM</w:t>
      </w:r>
      <w:r>
        <w:t xml:space="preserve"> </w:t>
      </w:r>
      <m:oMath>
        <m:r>
          <m:rPr>
            <m:sty m:val="p"/>
          </m:rPr>
          <m:t>≥</m:t>
        </m:r>
        <m:r>
          <m:t>4.0</m:t>
        </m:r>
      </m:oMath>
      <w:r>
        <w:t xml:space="preserve">, Quarto</w:t>
      </w:r>
      <w:r>
        <w:t xml:space="preserve"> </w:t>
      </w:r>
      <m:oMath>
        <m:r>
          <m:rPr>
            <m:sty m:val="p"/>
          </m:rPr>
          <m:t>≥</m:t>
        </m:r>
        <m:r>
          <m:t>1.5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Lenguaje de Programación:</w:t>
      </w:r>
      <w:r>
        <w:t xml:space="preserve"> </w:t>
      </w:r>
      <w:r>
        <w:t xml:space="preserve">Python (con extensiones vectorizadas en C++ y Rust).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Disponibilidad y Licencia:</w:t>
      </w:r>
      <w:r>
        <w:t xml:space="preserve"> </w:t>
      </w:r>
      <w:r>
        <w:t xml:space="preserve">Código abierto bajo Licencia MIT.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Repositorio Oficial:</w:t>
      </w:r>
      <w:r>
        <w:t xml:space="preserve"> </w:t>
      </w:r>
      <w:hyperlink r:id="rId20">
        <w:r>
          <w:rPr>
            <w:rStyle w:val="Hyperlink"/>
          </w:rPr>
          <w:t xml:space="preserve">https://github.com/sanchezmartin093-code/Incendios_PY</w:t>
        </w:r>
      </w:hyperlink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Versión del release:</w:t>
      </w:r>
      <w:r>
        <w:t xml:space="preserve"> </w:t>
      </w:r>
      <w:r>
        <w:t xml:space="preserve">2.1.0 (2026-10-28)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DOI conceptual del Código:</w:t>
      </w:r>
      <w:r>
        <w:t xml:space="preserve"> </w:t>
      </w:r>
      <w:hyperlink r:id="rId21">
        <w:r>
          <w:rPr>
            <w:rStyle w:val="Hyperlink"/>
          </w:rPr>
          <w:t xml:space="preserve">10.5281/zenodo.23675104</w:t>
        </w:r>
      </w:hyperlink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DOI conceptual de los Datos:</w:t>
      </w:r>
      <w:r>
        <w:t xml:space="preserve"> </w:t>
      </w:r>
      <w:hyperlink r:id="rId22">
        <w:r>
          <w:rPr>
            <w:rStyle w:val="Hyperlink"/>
          </w:rPr>
          <w:t xml:space="preserve">10.5281/zenodo.23675278</w:t>
        </w:r>
      </w:hyperlink>
    </w:p>
    <w:bookmarkEnd w:id="23"/>
    <w:bookmarkStart w:id="28" w:name="X2e6a9152266b96449fe18b3a1b6306101b90c46"/>
    <w:p>
      <w:pPr>
        <w:pStyle w:val="Heading3"/>
      </w:pPr>
      <w:r>
        <w:t xml:space="preserve">B. Disponibilidad de Datos / Data Availability Statement</w:t>
      </w:r>
    </w:p>
    <w:p>
      <w:pPr>
        <w:pStyle w:val="FirstParagraph"/>
      </w:pPr>
      <w:r>
        <w:t xml:space="preserve">Todos los conjuntos de datos primarios utilizados son de acceso público internacional y gratuito: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Detecciones térmicas activas:</w:t>
      </w:r>
      <w:r>
        <w:t xml:space="preserve"> </w:t>
      </w:r>
      <w:r>
        <w:t xml:space="preserve">NASA FIRMS (sensores VIIRS Suomi-NPP, NOAA-20 y NOAA-21) disponibles en</w:t>
      </w:r>
      <w:r>
        <w:t xml:space="preserve"> </w:t>
      </w:r>
      <w:hyperlink r:id="rId24">
        <w:r>
          <w:rPr>
            <w:rStyle w:val="Hyperlink"/>
          </w:rPr>
          <w:t xml:space="preserve">firms.modaps.eosdis.nasa.gov</w:t>
        </w:r>
      </w:hyperlink>
      <w:r>
        <w:t xml:space="preserve">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Reanálisis meteorológico:</w:t>
      </w:r>
      <w:r>
        <w:t xml:space="preserve"> </w:t>
      </w:r>
      <w:r>
        <w:t xml:space="preserve">Copernicus Climate Data Store (CDS) ERA5-Land reanalysis (</w:t>
      </w:r>
      <w:hyperlink r:id="rId25">
        <w:r>
          <w:rPr>
            <w:rStyle w:val="Hyperlink"/>
          </w:rPr>
          <w:t xml:space="preserve">cds.climate.copernicus.eu</w:t>
        </w:r>
      </w:hyperlink>
      <w:r>
        <w:t xml:space="preserve">) procesado mediante pipeline nativo ECMWF CDS API (</w:t>
      </w:r>
      <w:r>
        <w:rPr>
          <w:rStyle w:val="VerbatimChar"/>
        </w:rPr>
        <w:t xml:space="preserve">src/clima_cds.py</w:t>
      </w:r>
      <w:r>
        <w:t xml:space="preserve">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Cobertura vegetal y biomas:</w:t>
      </w:r>
      <w:r>
        <w:t xml:space="preserve"> </w:t>
      </w:r>
      <w:r>
        <w:t xml:space="preserve">objetivo MapBiomas Chaco y Bosque Atlántico; se usan mapas anuales de MapBiomas Colección 2 (2017–2023), unidos por año previo.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Pérdida de cobertura arbórea:</w:t>
      </w:r>
      <w:r>
        <w:t xml:space="preserve"> </w:t>
      </w:r>
      <w:r>
        <w:t xml:space="preserve">Hansen Global Forest Change GFC-2025 v1.13 (</w:t>
      </w:r>
      <w:hyperlink r:id="rId26">
        <w:r>
          <w:rPr>
            <w:rStyle w:val="Hyperlink"/>
          </w:rPr>
          <w:t xml:space="preserve">earthenginepartners.appspot.com</w:t>
        </w:r>
      </w:hyperlink>
      <w:r>
        <w:t xml:space="preserve">).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Límites cartográficos nacionales:</w:t>
      </w:r>
      <w:r>
        <w:t xml:space="preserve"> </w:t>
      </w:r>
      <w:r>
        <w:t xml:space="preserve">Marco geoBoundaries ADM0 y ADM1 (</w:t>
      </w:r>
      <w:hyperlink r:id="rId27">
        <w:r>
          <w:rPr>
            <w:rStyle w:val="Hyperlink"/>
          </w:rPr>
          <w:t xml:space="preserve">geoboundaries.org</w:t>
        </w:r>
      </w:hyperlink>
      <w:r>
        <w:t xml:space="preserve">).</w:t>
      </w:r>
      <w:r>
        <w:br/>
      </w:r>
      <w:r>
        <w:t xml:space="preserve">Los datasets consolidados y procesados no se versionan en git; se documentan con hashes en</w:t>
      </w:r>
      <w:r>
        <w:t xml:space="preserve"> </w:t>
      </w:r>
      <w:r>
        <w:rPr>
          <w:rStyle w:val="VerbatimChar"/>
        </w:rPr>
        <w:t xml:space="preserve">fuentes/MANIFIESTO_DATOS_v3.csv</w:t>
      </w:r>
      <w:r>
        <w:t xml:space="preserve"> </w:t>
      </w:r>
      <w:r>
        <w:t xml:space="preserve">y están archivados en el asset de datos v2.0.1 (</w:t>
      </w:r>
      <w:r>
        <w:rPr>
          <w:rStyle w:val="VerbatimChar"/>
        </w:rPr>
        <w:t xml:space="preserve">Incendios_PY_data_v2.0.1.zip</w:t>
      </w:r>
      <w:r>
        <w:t xml:space="preserve">, 1.18 GB) bajo licencia CC BY 4.0, además del DOI conceptual de datos (</w:t>
      </w:r>
      <w:hyperlink r:id="rId22">
        <w:r>
          <w:rPr>
            <w:rStyle w:val="Hyperlink"/>
          </w:rPr>
          <w:t xml:space="preserve">10.5281/zenodo.23675278</w:t>
        </w:r>
      </w:hyperlink>
      <w:r>
        <w:t xml:space="preserve">).</w:t>
      </w:r>
    </w:p>
    <w:bookmarkEnd w:id="28"/>
    <w:bookmarkStart w:id="29" w:name="c.-financiamiento-funding"/>
    <w:p>
      <w:pPr>
        <w:pStyle w:val="Heading3"/>
      </w:pPr>
      <w:r>
        <w:t xml:space="preserve">C. Financiamiento / Funding</w:t>
      </w:r>
    </w:p>
    <w:p>
      <w:pPr>
        <w:pStyle w:val="FirstParagraph"/>
      </w:pPr>
      <w:r>
        <w:t xml:space="preserve">Esta investigación fue realizada como un desarrollo de investigación independiente y de acceso abierto autofinanciado por el autor. No se recibieron subvenciones específicas de organismos del sector público, comercial o sin fines de lucro.</w:t>
      </w:r>
    </w:p>
    <w:bookmarkEnd w:id="29"/>
    <w:bookmarkStart w:id="30" w:name="Xae657ab1a92bd8f09f57de06fc35a8d594aaeca"/>
    <w:p>
      <w:pPr>
        <w:pStyle w:val="Heading3"/>
      </w:pPr>
      <w:r>
        <w:t xml:space="preserve">D. Conflicto de Intereses / Competing Interests</w:t>
      </w:r>
    </w:p>
    <w:p>
      <w:pPr>
        <w:pStyle w:val="FirstParagraph"/>
      </w:pPr>
      <w:r>
        <w:t xml:space="preserve">El autor declara que no existen conflictos de interés financieros, institucionales ni personales que hayan podido influir en el diseño, análisis, interpretación o presentación de los resultados expuestos en este manuscrito.</w:t>
      </w:r>
    </w:p>
    <w:bookmarkEnd w:id="30"/>
    <w:bookmarkStart w:id="31" w:name="X165867c682dba5cbdd9d30e774da206830c2fdb"/>
    <w:p>
      <w:pPr>
        <w:pStyle w:val="Heading3"/>
      </w:pPr>
      <w:r>
        <w:t xml:space="preserve">E. Contribución de Autores / Author Contributions (CRediT)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Martín Sánchez Insfrán:</w:t>
      </w:r>
      <w:r>
        <w:t xml:space="preserve"> </w:t>
      </w:r>
      <w:r>
        <w:t xml:space="preserve">Conceptualización, Metodología, Software, Validación, Análisis Formal, Investigación, Recursos, Curación de Datos, Redacción - Borrador Original, Redacción - Revisión y Edición, Visualización, Supervisión y Administración del Proyecto.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hyperlink" Id="rId25" Target="https://cds.climate.copernicus.eu/" TargetMode="External" /><Relationship Type="http://schemas.openxmlformats.org/officeDocument/2006/relationships/hyperlink" Id="rId21" Target="https://doi.org/10.5281/zenodo.23675104" TargetMode="External" /><Relationship Type="http://schemas.openxmlformats.org/officeDocument/2006/relationships/hyperlink" Id="rId22" Target="https://doi.org/10.5281/zenodo.23675278" TargetMode="External" /><Relationship Type="http://schemas.openxmlformats.org/officeDocument/2006/relationships/hyperlink" Id="rId24" Target="https://firms.modaps.eosdis.nasa.gov/" TargetMode="External" /><Relationship Type="http://schemas.openxmlformats.org/officeDocument/2006/relationships/hyperlink" Id="rId20" Target="https://github.com/sanchezmartin093-code/Incendios_PY" TargetMode="External" /><Relationship Type="http://schemas.openxmlformats.org/officeDocument/2006/relationships/hyperlink" Id="rId10" Target="https://orcid.org/0000-0003-4138-9668" TargetMode="External" /><Relationship Type="http://schemas.openxmlformats.org/officeDocument/2006/relationships/hyperlink" Id="rId26" Target="https://storage.googleapis.com/earthenginepartners-hansen/GFC-2025-v1.13/" TargetMode="External" /><Relationship Type="http://schemas.openxmlformats.org/officeDocument/2006/relationships/hyperlink" Id="rId27" Target="https://www.geoboundaries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cds.climate.copernicus.eu/" TargetMode="External" /><Relationship Type="http://schemas.openxmlformats.org/officeDocument/2006/relationships/hyperlink" Id="rId21" Target="https://doi.org/10.5281/zenodo.23675104" TargetMode="External" /><Relationship Type="http://schemas.openxmlformats.org/officeDocument/2006/relationships/hyperlink" Id="rId22" Target="https://doi.org/10.5281/zenodo.23675278" TargetMode="External" /><Relationship Type="http://schemas.openxmlformats.org/officeDocument/2006/relationships/hyperlink" Id="rId24" Target="https://firms.modaps.eosdis.nasa.gov/" TargetMode="External" /><Relationship Type="http://schemas.openxmlformats.org/officeDocument/2006/relationships/hyperlink" Id="rId20" Target="https://github.com/sanchezmartin093-code/Incendios_PY" TargetMode="External" /><Relationship Type="http://schemas.openxmlformats.org/officeDocument/2006/relationships/hyperlink" Id="rId10" Target="https://orcid.org/0000-0003-4138-9668" TargetMode="External" /><Relationship Type="http://schemas.openxmlformats.org/officeDocument/2006/relationships/hyperlink" Id="rId26" Target="https://storage.googleapis.com/earthenginepartners-hansen/GFC-2025-v1.13/" TargetMode="External" /><Relationship Type="http://schemas.openxmlformats.org/officeDocument/2006/relationships/hyperlink" Id="rId27" Target="https://www.geoboundaries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Page</dc:title>
  <dc:creator/>
  <dc:language>es</dc:language>
  <cp:keywords/>
  <dcterms:created xsi:type="dcterms:W3CDTF">2026-10-29T20:43:40Z</dcterms:created>
  <dcterms:modified xsi:type="dcterms:W3CDTF">2026-10-29T20:43:40Z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ate">
    <vt:lpwstr>2026-10-28</vt:lpwstr>
  </property>
  <property fmtid="{D5CDD505-2E9C-101B-9397-08002B2CF9AE}" pid="4" name="date-modified">
    <vt:lpwstr>2026-10-29</vt:lpwstr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subtitle">
    <vt:lpwstr>Un marco computacional reproducible para el desacoplamiento y benchmarking de ignición y propagación de incendios en el Gran Chaco (2018–2025)</vt:lpwstr>
  </property>
  <property fmtid="{D5CDD505-2E9C-101B-9397-08002B2CF9AE}" pid="10" name="toc-title">
    <vt:lpwstr>Tabla de contenidos</vt:lpwstr>
  </property>
</Properties>
</file>