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present a reproducible computational framework that separates primary ignition from tactical propagation and makes target construction, gated inference and evaluation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the M1 biophysical baseline is reported in Supplementary Table S16. In 2023 development spatial blocks, M2 is the most robust model (0.6773/0.7470), and M1 does not outperform M2 on cells without history, so M1 is rejected as an operational fallback (Supplementary Tables S8 and S16).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contribution is a reproducible computational protocol and benchmark, not a new boosting algorithm.</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dual-sensor constellation provides a comparatively homogeneous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This paper addresses both problems with a reproducible computational framework rather than a new learner. The framework has three computational components: (i) a D2 target operator that separates primary ignition from tactical propagation; (ii) a gated inference architecture that uses a hybrid model (M3) where fire history exists and a base model (M2) where it does not; and (iii) an evaluation harness that combines temporal holdout, spatial blocks, grouped bootstrap, lead-time and cost-loss analysis. The geoscientific contribution is the resulting benchmark: full FWI and INPE are tested under the same D2 protocol in the Gran Chaco, and the temporal versus spatial limits of the hybrid model are reported explicitly.</w:t>
      </w:r>
    </w:p>
    <w:p>
      <w:pPr>
        <w:pStyle w:val="BodyText"/>
      </w:pPr>
      <w:r>
        <w:t xml:space="preserve">The novelty is therefore a reusable protocol, software and benchmark, not a new boosting algorithm.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M3/M2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MapBiomas Collection 2 (2023) fuel fractions;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pipeline processes 400,006 cells in 1.569 s with 2,182.1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release DOI.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summarises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1,813,966 task cell-days in total: 376,552 ignition and 1,437,414 propagation). Precision and recall are case-control (9.09 % prevalence) at the F0.5 cutoff. The test was already observed and is not used for selection.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9,960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7,835</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prioritisation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32.81 % versus 33.27 % for M2; in Oriental it is 30.13 % versus 26.09 %. The advantage is not uniform and is not presented as a precision gain in both regions. The complete ablation table is Supplementary Table S12. TreeSHAP identifies historical distance, dry-forest fraction, accessibility and seasonality as the dominant drivers in Chaco; in Oriental, historical distance and local anthropic concentration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spatial design retains 44 blocks and excludes a 20-km buffer around holdout cells during training; priors are recomputed without held-out fires. The gap between held-in and holdout performance measures spatial memorization. M3 shows a large drop in Chaco and a smaller drop in Oriental; M2 retains the best absolute discrimination in both regions. The result does not support M3 as a spatial extrapolator, and it does not make M1 the best option: M1 was a stable but lower baseline and was rejected as the operational fallback. The full M1 spatial and no-history results are in Supplementary Tables S8 and S16;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89.85 %/90.19 % for a nominal 90 % level and 95.02 %/94.56 %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paper is closer to a benchmark protocol than to a model paper.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 static 2023 MapBiomas layer; no annual fuel series is used.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(0.082 %/0.198 %), and cost-loss does not show a clear M3 advantage over M2.</w:t>
      </w:r>
    </w:p>
    <w:p>
      <w:pPr>
        <w:pStyle w:val="Compact"/>
        <w:numPr>
          <w:ilvl w:val="0"/>
          <w:numId w:val="1004"/>
        </w:numPr>
      </w:pPr>
      <w:r>
        <w:t xml:space="preserve">M3 loses spatial transferability; M2 is the operational fallback and M1 is a baseline. M1 should not be presented as a solution for new cells.</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baseline with t-1 fire inputs and no gating has not been implemented; the decoupling claim is therefore supported by the architecture and the spatial holdout, not by a direct head-to-head leakage experiment.</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choice of a 10-day same-cell exclusion is a design decision; alternative windows could change the ignition base rate and should be tested in future work.</w:t>
      </w:r>
    </w:p>
    <w:p>
      <w:pPr>
        <w:pStyle w:val="Compact"/>
        <w:numPr>
          <w:ilvl w:val="0"/>
          <w:numId w:val="1004"/>
        </w:numPr>
      </w:pPr>
      <w:r>
        <w:t xml:space="preserve">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 xml:space="preserve">The dependency lock has exact versions but not wheel hashes; the exception is documented in</w:t>
      </w:r>
      <w:r>
        <w:t xml:space="preserve"> </w:t>
      </w:r>
      <w:r>
        <w:rPr>
          <w:rStyle w:val="VerbatimChar"/>
        </w:rPr>
        <w:t xml:space="preserve">auditoria/FASE2_0_LOCK_EXCEPTION.md</w:t>
      </w:r>
      <w:r>
        <w:t xml:space="preserve">.</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Future work should add a coupled t-1 baseline, an external-country validation and a day-ahead weather source. Code and data are archived under the concept DOIs reported below, and the benchmark can be extended to other subtropical regions without changing the target logic.</w:t>
      </w:r>
    </w:p>
    <w:bookmarkEnd w:id="51"/>
    <w:bookmarkStart w:id="53" w:name="data-availability"/>
    <w:p>
      <w:pPr>
        <w:pStyle w:val="Heading1"/>
      </w:pPr>
      <w:r>
        <w:t xml:space="preserve">6. Data availability</w:t>
      </w:r>
    </w:p>
    <w:p>
      <w:pPr>
        <w:pStyle w:val="FirstParagraph"/>
      </w:pPr>
      <w:r>
        <w:t xml:space="preserve">Processed data, test predictions, trained models and derived tables are archived in Zenodo under CC BY 4.0 (concept DOI):</w:t>
      </w:r>
      <w:r>
        <w:t xml:space="preserve"> </w:t>
      </w:r>
      <w:hyperlink r:id="rId52">
        <w:r>
          <w:rPr>
            <w:rStyle w:val="Hyperlink"/>
          </w:rPr>
          <w:t xml:space="preserve">10.5281/zenodo.23675278</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3"/>
    <w:bookmarkStart w:id="54" w:name="acknowledgements"/>
    <w:p>
      <w:pPr>
        <w:pStyle w:val="Heading1"/>
      </w:pPr>
      <w:r>
        <w:t xml:space="preserve">7. Acknowledgements</w:t>
      </w:r>
    </w:p>
    <w:p>
      <w:pPr>
        <w:pStyle w:val="FirstParagraph"/>
      </w:pPr>
      <w:r>
        <w:t xml:space="preserve">We thank NASA FIRMS, the Copernicus Climate Data Store, MapBiomas and geoBoundaries for open data. The author is responsible for all interpretations and errors.</w:t>
      </w:r>
    </w:p>
    <w:bookmarkEnd w:id="54"/>
    <w:bookmarkStart w:id="55" w:name="funding"/>
    <w:p>
      <w:pPr>
        <w:pStyle w:val="Heading1"/>
      </w:pPr>
      <w:r>
        <w:t xml:space="preserve">8. Funding</w:t>
      </w:r>
    </w:p>
    <w:p>
      <w:pPr>
        <w:pStyle w:val="FirstParagraph"/>
      </w:pPr>
      <w:r>
        <w:t xml:space="preserve">This research received no specific grant from public, commercial or not-for-profit funding agencies.</w:t>
      </w:r>
    </w:p>
    <w:bookmarkEnd w:id="55"/>
    <w:bookmarkStart w:id="56" w:name="competing-interests"/>
    <w:p>
      <w:pPr>
        <w:pStyle w:val="Heading1"/>
      </w:pPr>
      <w:r>
        <w:t xml:space="preserve">9. Competing interests</w:t>
      </w:r>
    </w:p>
    <w:p>
      <w:pPr>
        <w:pStyle w:val="FirstParagraph"/>
      </w:pPr>
      <w:r>
        <w:t xml:space="preserve">The author declares no competing financial or non-financial interests.</w:t>
      </w:r>
    </w:p>
    <w:bookmarkEnd w:id="56"/>
    <w:bookmarkStart w:id="57"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7"/>
    <w:bookmarkStart w:id="58"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8"/>
    <w:bookmarkStart w:id="61"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59">
        <w:r>
          <w:rPr>
            <w:rStyle w:val="Hyperlink"/>
          </w:rPr>
          <w:t xml:space="preserve">https://github.com/sanchezmartin093-code/Incendios_PY</w:t>
        </w:r>
      </w:hyperlink>
      <w:r>
        <w:br/>
      </w:r>
      <w:r>
        <w:rPr>
          <w:b/>
          <w:bCs/>
        </w:rPr>
        <w:t xml:space="preserve">Code concept DOI (v2.0.0):</w:t>
      </w:r>
      <w:r>
        <w:t xml:space="preserve"> </w:t>
      </w:r>
      <w:hyperlink r:id="rId60">
        <w:r>
          <w:rPr>
            <w:rStyle w:val="Hyperlink"/>
          </w:rPr>
          <w:t xml:space="preserve">10.5281/zenodo.23675104</w:t>
        </w:r>
      </w:hyperlink>
      <w:r>
        <w:br/>
      </w:r>
      <w:r>
        <w:rPr>
          <w:b/>
          <w:bCs/>
        </w:rPr>
        <w:t xml:space="preserve">Data concept DOI (v2.0.0):</w:t>
      </w:r>
      <w:r>
        <w:t xml:space="preserve"> </w:t>
      </w:r>
      <w:hyperlink r:id="rId52">
        <w:r>
          <w:rPr>
            <w:rStyle w:val="Hyperlink"/>
          </w:rPr>
          <w:t xml:space="preserve">10.5281/zenodo.23675278</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1"/>
    <w:bookmarkStart w:id="100" w:name="references"/>
    <w:p>
      <w:pPr>
        <w:pStyle w:val="Heading1"/>
      </w:pPr>
      <w:r>
        <w:t xml:space="preserve">References</w:t>
      </w:r>
    </w:p>
    <w:bookmarkStart w:id="99"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2">
        <w:r>
          <w:rPr>
            <w:rStyle w:val="Hyperlink"/>
          </w:rPr>
          <w:t xml:space="preserve">https://doi.org/10.1139/er-2020-0019</w:t>
        </w:r>
      </w:hyperlink>
    </w:p>
    <w:bookmarkEnd w:id="73"/>
    <w:bookmarkStart w:id="7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4">
        <w:r>
          <w:rPr>
            <w:rStyle w:val="Hyperlink"/>
          </w:rPr>
          <w:t xml:space="preserve">https://doi.org/10.1038/ncomms8537</w:t>
        </w:r>
      </w:hyperlink>
    </w:p>
    <w:bookmarkEnd w:id="75"/>
    <w:bookmarkStart w:id="76"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6"/>
    <w:bookmarkStart w:id="78"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7">
        <w:r>
          <w:rPr>
            <w:rStyle w:val="Hyperlink"/>
          </w:rPr>
          <w:t xml:space="preserve">https://doi.org/10.2307/1939924</w:t>
        </w:r>
      </w:hyperlink>
    </w:p>
    <w:bookmarkEnd w:id="78"/>
    <w:bookmarkStart w:id="8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9">
        <w:r>
          <w:rPr>
            <w:rStyle w:val="Hyperlink"/>
          </w:rPr>
          <w:t xml:space="preserve">https://doi.org/10.1145/1102351.1102430</w:t>
        </w:r>
      </w:hyperlink>
    </w:p>
    <w:bookmarkEnd w:id="80"/>
    <w:bookmarkStart w:id="8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1">
        <w:r>
          <w:rPr>
            <w:rStyle w:val="Hyperlink"/>
          </w:rPr>
          <w:t xml:space="preserve">https://doi.org/10.1016/j.pecon.2021.06.005</w:t>
        </w:r>
      </w:hyperlink>
    </w:p>
    <w:bookmarkEnd w:id="82"/>
    <w:bookmarkStart w:id="8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3"/>
    <w:bookmarkStart w:id="85"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4">
        <w:r>
          <w:rPr>
            <w:rStyle w:val="Hyperlink"/>
          </w:rPr>
          <w:t xml:space="preserve">https://doi.org/10.1038/s41467-020-18321-y</w:t>
        </w:r>
      </w:hyperlink>
    </w:p>
    <w:bookmarkEnd w:id="85"/>
    <w:bookmarkStart w:id="87"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6">
        <w:r>
          <w:rPr>
            <w:rStyle w:val="Hyperlink"/>
          </w:rPr>
          <w:t xml:space="preserve">https://doi.org/10.1111/ecog.02881</w:t>
        </w:r>
      </w:hyperlink>
    </w:p>
    <w:bookmarkEnd w:id="87"/>
    <w:bookmarkStart w:id="8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8">
        <w:r>
          <w:rPr>
            <w:rStyle w:val="Hyperlink"/>
          </w:rPr>
          <w:t xml:space="preserve">https://doi.org/10.5772/28441</w:t>
        </w:r>
      </w:hyperlink>
    </w:p>
    <w:bookmarkEnd w:id="89"/>
    <w:bookmarkStart w:id="9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0">
        <w:r>
          <w:rPr>
            <w:rStyle w:val="Hyperlink"/>
          </w:rPr>
          <w:t xml:space="preserve">http://queimadas.dgi.inpe.br</w:t>
        </w:r>
      </w:hyperlink>
    </w:p>
    <w:bookmarkEnd w:id="91"/>
    <w:bookmarkStart w:id="9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2">
        <w:r>
          <w:rPr>
            <w:rStyle w:val="Hyperlink"/>
          </w:rPr>
          <w:t xml:space="preserve">https://doi.org/10.5558/tfc65258-4</w:t>
        </w:r>
      </w:hyperlink>
    </w:p>
    <w:bookmarkEnd w:id="93"/>
    <w:bookmarkStart w:id="9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4">
        <w:r>
          <w:rPr>
            <w:rStyle w:val="Hyperlink"/>
          </w:rPr>
          <w:t xml:space="preserve">https://doi.org/10.2307/143141</w:t>
        </w:r>
      </w:hyperlink>
    </w:p>
    <w:bookmarkEnd w:id="95"/>
    <w:bookmarkStart w:id="9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6">
        <w:r>
          <w:rPr>
            <w:rStyle w:val="Hyperlink"/>
          </w:rPr>
          <w:t xml:space="preserve">https://doi.org/10.1016/j.jaridenv.2014.11.009</w:t>
        </w:r>
      </w:hyperlink>
    </w:p>
    <w:bookmarkEnd w:id="97"/>
    <w:bookmarkStart w:id="9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2026-10-28T00:23:13Z</dcterms:created>
  <dcterms:modified xsi:type="dcterms:W3CDTF">2026-10-28T00:23:13Z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date-modified">
    <vt:lpwstr>2026-10-27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D2 targets, M3/M2 inference, and an open benchmark against Canadian FWI and INPE</vt:lpwstr>
  </property>
  <property fmtid="{D5CDD505-2E9C-101B-9397-08002B2CF9AE}" pid="13" name="toc-title">
    <vt:lpwstr>Table of contents</vt:lpwstr>
  </property>
</Properties>
</file>