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 D2 targets, M3/M2 inference, and an open benchmark against Canadian FWI and INPE</w:t>
      </w:r>
    </w:p>
    <w:p>
      <w:pPr>
        <w:pStyle w:val="FirstParagraph"/>
      </w:pPr>
      <w:r>
        <w:rPr>
          <w:b/>
          <w:bCs/>
        </w:rPr>
        <w:t xml:space="preserve">Martín Sánchez Insfrán</w:t>
      </w:r>
    </w:p>
    <w:p>
      <w:pPr>
        <w:pStyle w:val="BodyText"/>
      </w:pPr>
      <w:r>
        <w:t xml:space="preserve">Independent Researcher, Asunción, Paraguay. ORCID: 0000-0003-4138-9668</w:t>
      </w:r>
    </w:p>
    <w:p>
      <w:pPr>
        <w:pStyle w:val="BodyText"/>
      </w:pPr>
      <w:r>
        <w:t xml:space="preserve">Corresponding author. E-mail: sanchez.martin093@gmail.com · Telephone: +595 971 907 727</w:t>
      </w:r>
    </w:p>
    <w:p>
      <w:pPr>
        <w:pStyle w:val="BodyText"/>
      </w:pPr>
      <w:r>
        <w:rPr>
          <w:b/>
          <w:bCs/>
        </w:rPr>
        <w:t xml:space="preserve">ARTICLE INFO</w:t>
      </w:r>
    </w:p>
    <w:p>
      <w:pPr>
        <w:pStyle w:val="BodyText"/>
      </w:pPr>
      <w:r>
        <w:rPr>
          <w:b/>
          <w:bCs/>
        </w:rPr>
        <w:t xml:space="preserve">Keywords:</w:t>
      </w:r>
      <w:r>
        <w:t xml:space="preserve"> </w:t>
      </w:r>
      <w:r>
        <w:t xml:space="preserve">Wildfire nowcasting · GeoAI · Reproducibility · Spatial cross-validation · LightGBM · Gran Chaco</w:t>
      </w:r>
    </w:p>
    <w:p>
      <w:pPr>
        <w:pStyle w:val="BodyText"/>
      </w:pPr>
      <w:r>
        <w:rPr>
          <w:b/>
          <w:bCs/>
        </w:rPr>
        <w:t xml:space="preserve">ABSTRACT</w:t>
      </w:r>
    </w:p>
    <w:p>
      <w:pPr>
        <w:pStyle w:val="BodyText"/>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 xml:space="preserve">2. Computational framework</w:t>
      </w:r>
    </w:p>
    <w:bookmarkStart w:id="10"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Same-cell detections recurring within 2–10 days without an active neighbor within 25 km on day</w:t>
      </w:r>
      <w:r>
        <w:t xml:space="preserve"> </w:t>
      </w:r>
      <w:r>
        <w:rPr>
          <w:i/>
          <w:iCs/>
        </w:rPr>
        <w:t xml:space="preserve">t</w:t>
      </w:r>
      <w:r>
        <w:t xml:space="preserve">−1—typically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0"/>
    <w:bookmarkStart w:id="15"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4" w:name="fig-framework"/>
          <w:p>
            <w:pPr>
              <w:pStyle w:val="Compact"/>
              <w:jc w:val="center"/>
            </w:pPr>
            <w:r>
              <w:drawing>
                <wp:inline>
                  <wp:extent cx="5334000" cy="3934472"/>
                  <wp:effectExtent b="0" l="0" r="0" t="0"/>
                  <wp:docPr descr="" title="" id="12" name="Picture"/>
                  <a:graphic>
                    <a:graphicData uri="http://schemas.openxmlformats.org/drawingml/2006/picture">
                      <pic:pic>
                        <pic:nvPicPr>
                          <pic:cNvPr descr="../../entregables/figuras/fig01_framework_conceptual.png" id="13" name="Picture"/>
                          <pic:cNvPicPr>
                            <a:picLocks noChangeArrowheads="1" noChangeAspect="1"/>
                          </pic:cNvPicPr>
                        </pic:nvPicPr>
                        <pic:blipFill>
                          <a:blip r:embed="rId11"/>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(a) Daily 1-km² inputs (VIIRS 375 m, ERA5-Land 3-hourly, MapBiomas C2, Hansen GFC and causal historical priors) pass through a biophysical gate (fuel = 1, VPD ≥ 0.8 kPa, 48-h rainfall &lt; 10 mm); the gate removes 21.7 % of cell-days but retains 97.17 % of thermal detections and is not a label filter. (b) D2 separates primary ignition from tactical propagation; the domains are disjoint.</w:t>
            </w:r>
            <w:r>
              <w:t xml:space="preserve"> </w:t>
            </w:r>
            <w:r>
              <w:rPr>
                <w:rStyle w:val="VerbatimChar"/>
              </w:rPr>
              <w:t xml:space="preserve">N25(i,t−1)</w:t>
            </w:r>
            <w:r>
              <w:t xml:space="preserve"> </w:t>
            </w:r>
            <w:r>
              <w:t xml:space="preserve">is the set of cells within 25 km with fire at t−1 and</w:t>
            </w:r>
            <w:r>
              <w:t xml:space="preserve"> </w:t>
            </w:r>
            <w:r>
              <w:rPr>
                <w:rStyle w:val="VerbatimChar"/>
              </w:rPr>
              <w:t xml:space="preserve">H10(i,t)</w:t>
            </w:r>
            <w:r>
              <w:t xml:space="preserve"> </w:t>
            </w:r>
            <w:r>
              <w:t xml:space="preserve">any same-cell detection in the previous 10 d. (c) Operational ignition uses M3 for cells with</w:t>
            </w:r>
            <w:r>
              <w:t xml:space="preserve"> </w:t>
            </w:r>
            <w:r>
              <w:rPr>
                <w:rStyle w:val="VerbatimChar"/>
              </w:rPr>
              <w:t xml:space="preserve">freq_hist_1km &gt; 0</w:t>
            </w:r>
            <w:r>
              <w:t xml:space="preserve"> </w:t>
            </w:r>
            <w:r>
              <w:t xml:space="preserve">and M2 as fallback for</w:t>
            </w:r>
            <w:r>
              <w:t xml:space="preserve"> </w:t>
            </w:r>
            <w:r>
              <w:rPr>
                <w:rStyle w:val="VerbatimChar"/>
              </w:rPr>
              <w:t xml:space="preserve">freq_hist_1km = 0</w:t>
            </w:r>
            <w:r>
              <w:t xml:space="preserve">; propagation uses a causal t−1 kernel. Probabilities are calibrated with a monotonic Platt transform and a frozen F0.5 cutoff after prior correction; M1 (24 variables) is a diagnostic baseline and is not shown. (d) Evaluation uses a temporal split (2018–2022/2023/2024–2025), 50-km spatial blocks with a 20-km buffer, date-grouped bootstrap (500 AUC CI; 1,000 paired), cost-loss and open code/data; the 20-km buffer applies only to the spatial holdout.</w:t>
            </w:r>
          </w:p>
          <w:bookmarkEnd w:id="14"/>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and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5"/>
    <w:bookmarkStart w:id="16"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6"/>
    <w:bookmarkStart w:id="21"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and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0" w:name="fig-area"/>
          <w:p>
            <w:pPr>
              <w:pStyle w:val="Compact"/>
              <w:jc w:val="center"/>
            </w:pPr>
            <w:r>
              <w:drawing>
                <wp:inline>
                  <wp:extent cx="4267200" cy="4742348"/>
                  <wp:effectExtent b="0" l="0" r="0" t="0"/>
                  <wp:docPr descr="" title="" id="18" name="Picture"/>
                  <a:graphic>
                    <a:graphicData uri="http://schemas.openxmlformats.org/drawingml/2006/picture">
                      <pic:pic>
                        <pic:nvPicPr>
                          <pic:cNvPr descr="../../entregables/figuras/fig01_macro_regiones_cobertura.png" id="19" name="Picture"/>
                          <pic:cNvPicPr>
                            <a:picLocks noChangeArrowheads="1" noChangeAspect="1"/>
                          </pic:cNvPicPr>
                        </pic:nvPicPr>
                        <pic:blipFill>
                          <a:blip r:embed="rId17"/>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0"/>
        </w:tc>
      </w:tr>
    </w:tbl>
    <w:bookmarkEnd w:id="21"/>
    <w:bookmarkEnd w:id="22"/>
    <w:bookmarkStart w:id="45" w:name="results"/>
    <w:p>
      <w:pPr>
        <w:pStyle w:val="Heading1"/>
      </w:pPr>
      <w:r>
        <w:t xml:space="preserve">3. Results</w:t>
      </w:r>
    </w:p>
    <w:bookmarkStart w:id="29"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3"/>
          <w:p/>
        </w:tc>
      </w:tr>
    </w:tbl>
    <w:p>
      <w:pPr>
        <w:pStyle w:val="BodyText"/>
      </w:pPr>
      <w:r>
        <w:t xml:space="preserve">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6"/>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 xml:space="preserve">Temporal stability and D2 parameter sensitivity.</w:t>
      </w:r>
      <w:r>
        <w:t xml:space="preserve"> </w:t>
      </w: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 xml:space="preserve">Distribution shift and negative controls.</w:t>
      </w:r>
      <w:r>
        <w:t xml:space="preserve"> </w:t>
      </w:r>
      <w:r>
        <w:t xml:space="preserve">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 xml:space="preserve">Sampling, gating and label-quality robustness.</w:t>
      </w:r>
      <w:r>
        <w:t xml:space="preserve"> </w:t>
      </w:r>
      <w:r>
        <w:t xml:space="preserve">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 xml:space="preserve">External spatial validation.</w:t>
      </w:r>
      <w:r>
        <w:t xml:space="preserve"> </w:t>
      </w:r>
      <w:r>
        <w:t xml:space="preserve">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p>
      <w:pPr>
        <w:pStyle w:val="BodyText"/>
      </w:pPr>
      <w:r>
        <w:t xml:space="preserve">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1"/>
        </w:tc>
      </w:tr>
    </w:tbl>
    <w:bookmarkEnd w:id="42"/>
    <w:bookmarkStart w:id="43"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 xml:space="preserve">Data availability</w:t>
      </w:r>
    </w:p>
    <w:p>
      <w:pPr>
        <w:pStyle w:val="FirstParagraph"/>
      </w:pPr>
      <w:r>
        <w:t xml:space="preserve">Processed data, test predictions, trained models and derived tables are available in the v2.1.0 GitHub release at</w:t>
      </w:r>
      <w:r>
        <w:t xml:space="preserve"> </w:t>
      </w:r>
      <w:hyperlink r:id="rId52">
        <w:r>
          <w:rPr>
            <w:rStyle w:val="Hyperlink"/>
          </w:rPr>
          <w:t xml:space="preserve">github.com/sanchezmartin093-code/Incendios_PY</w:t>
        </w:r>
      </w:hyperlink>
      <w:r>
        <w:t xml:space="preserve"> </w:t>
      </w:r>
      <w:r>
        <w:t xml:space="preserve">under CC BY 4.0 and are indexed by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7" w:name="computer-code-availability"/>
    <w:p>
      <w:pPr>
        <w:pStyle w:val="Heading1"/>
      </w:pPr>
      <w:r>
        <w:t xml:space="preserve">Computer Code Availability</w:t>
      </w:r>
    </w:p>
    <w:p>
      <w:pPr>
        <w:pStyle w:val="Compact"/>
        <w:numPr>
          <w:ilvl w:val="0"/>
          <w:numId w:val="1005"/>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5"/>
        </w:numPr>
      </w:pPr>
      <w:r>
        <w:rPr>
          <w:b/>
          <w:bCs/>
        </w:rPr>
        <w:t xml:space="preserve">Developer and contact address:</w:t>
      </w:r>
      <w:r>
        <w:t xml:space="preserve"> </w:t>
      </w:r>
      <w:r>
        <w:t xml:space="preserve">Martín Sánchez Insfrán, Independent Researcher, Asunción, Paraguay.</w:t>
      </w:r>
    </w:p>
    <w:p>
      <w:pPr>
        <w:pStyle w:val="Compact"/>
        <w:numPr>
          <w:ilvl w:val="0"/>
          <w:numId w:val="1005"/>
        </w:numPr>
      </w:pPr>
      <w:r>
        <w:rPr>
          <w:b/>
          <w:bCs/>
        </w:rPr>
        <w:t xml:space="preserve">Telephone:</w:t>
      </w:r>
      <w:r>
        <w:t xml:space="preserve"> </w:t>
      </w:r>
      <w:r>
        <w:t xml:space="preserve">+595 971 907 727</w:t>
      </w:r>
    </w:p>
    <w:p>
      <w:pPr>
        <w:pStyle w:val="Compact"/>
        <w:numPr>
          <w:ilvl w:val="0"/>
          <w:numId w:val="1005"/>
        </w:numPr>
      </w:pPr>
      <w:r>
        <w:rPr>
          <w:b/>
          <w:bCs/>
        </w:rPr>
        <w:t xml:space="preserve">E-mail:</w:t>
      </w:r>
      <w:r>
        <w:t xml:space="preserve"> </w:t>
      </w:r>
      <w:r>
        <w:t xml:space="preserve">sanchez.martin093@gmail.com</w:t>
      </w:r>
    </w:p>
    <w:p>
      <w:pPr>
        <w:pStyle w:val="Compact"/>
        <w:numPr>
          <w:ilvl w:val="0"/>
          <w:numId w:val="1005"/>
        </w:numPr>
      </w:pPr>
      <w:r>
        <w:rPr>
          <w:b/>
          <w:bCs/>
        </w:rPr>
        <w:t xml:space="preserve">Year first available:</w:t>
      </w:r>
      <w:r>
        <w:t xml:space="preserve"> </w:t>
      </w:r>
      <w:r>
        <w:t xml:space="preserve">2026</w:t>
      </w:r>
    </w:p>
    <w:p>
      <w:pPr>
        <w:pStyle w:val="Compact"/>
        <w:numPr>
          <w:ilvl w:val="0"/>
          <w:numId w:val="1005"/>
        </w:numPr>
      </w:pPr>
      <w:r>
        <w:rPr>
          <w:b/>
          <w:bCs/>
        </w:rPr>
        <w:t xml:space="preserve">Hardware required:</w:t>
      </w:r>
      <w:r>
        <w:t xml:space="preserve"> </w:t>
      </w:r>
      <w:r>
        <w:t xml:space="preserve">x86_64 or ARM64 CPU; minimum 8 GB RAM.</w:t>
      </w:r>
    </w:p>
    <w:p>
      <w:pPr>
        <w:pStyle w:val="Compact"/>
        <w:numPr>
          <w:ilvl w:val="0"/>
          <w:numId w:val="1005"/>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5"/>
        </w:numPr>
      </w:pPr>
      <w:r>
        <w:rPr>
          <w:b/>
          <w:bCs/>
        </w:rPr>
        <w:t xml:space="preserve">Program language:</w:t>
      </w:r>
      <w:r>
        <w:t xml:space="preserve"> </w:t>
      </w:r>
      <w:r>
        <w:t xml:space="preserve">Python 3.12+.</w:t>
      </w:r>
    </w:p>
    <w:p>
      <w:pPr>
        <w:pStyle w:val="Compact"/>
        <w:numPr>
          <w:ilvl w:val="0"/>
          <w:numId w:val="1005"/>
        </w:numPr>
      </w:pPr>
      <w:r>
        <w:rPr>
          <w:b/>
          <w:bCs/>
        </w:rPr>
        <w:t xml:space="preserve">Program size:</w:t>
      </w:r>
      <w:r>
        <w:t xml:space="preserve"> </w:t>
      </w:r>
      <w:r>
        <w:t xml:space="preserve">1.7 MB source tree (approximately 0.9 MB Python source); the processed benchmark archive is 11 GB.</w:t>
      </w:r>
    </w:p>
    <w:p>
      <w:pPr>
        <w:pStyle w:val="Compact"/>
        <w:numPr>
          <w:ilvl w:val="0"/>
          <w:numId w:val="1005"/>
        </w:numPr>
      </w:pPr>
      <w:r>
        <w:rPr>
          <w:b/>
          <w:bCs/>
        </w:rPr>
        <w:t xml:space="preserve">Availability and license:</w:t>
      </w:r>
      <w:r>
        <w:t xml:space="preserve"> </w:t>
      </w:r>
      <w:r>
        <w:t xml:space="preserve">Freely available under the MIT License at</w:t>
      </w:r>
      <w:r>
        <w:t xml:space="preserve"> </w:t>
      </w:r>
      <w:hyperlink r:id="rId52">
        <w:r>
          <w:rPr>
            <w:rStyle w:val="Hyperlink"/>
          </w:rPr>
          <w:t xml:space="preserve">github.com/sanchezmartin093-code/Incendios_PY</w:t>
        </w:r>
      </w:hyperlink>
      <w:r>
        <w:t xml:space="preserve">. Code concept DOI:</w:t>
      </w:r>
      <w:r>
        <w:t xml:space="preserve"> </w:t>
      </w:r>
      <w:hyperlink r:id="rId56">
        <w:r>
          <w:rPr>
            <w:rStyle w:val="Hyperlink"/>
          </w:rPr>
          <w:t xml:space="preserve">10.5281/zenodo.23675104</w:t>
        </w:r>
      </w:hyperlink>
      <w:r>
        <w:t xml:space="preserve">; data concept DOI:</w:t>
      </w:r>
      <w:r>
        <w:t xml:space="preserve"> </w:t>
      </w:r>
      <w:hyperlink r:id="rId53">
        <w:r>
          <w:rPr>
            <w:rStyle w:val="Hyperlink"/>
          </w:rPr>
          <w:t xml:space="preserve">10.5281/zenodo.23675278</w:t>
        </w:r>
      </w:hyperlink>
      <w:r>
        <w:t xml:space="preserve">. The v2.1.0 source snapshot is the GitHub release; the concept DOIs identify the archived code and data series.</w:t>
      </w:r>
    </w:p>
    <w:p>
      <w:pPr>
        <w:pStyle w:val="Compact"/>
        <w:numPr>
          <w:ilvl w:val="0"/>
          <w:numId w:val="1005"/>
        </w:numPr>
      </w:pPr>
      <w:r>
        <w:rPr>
          <w:b/>
          <w:bCs/>
        </w:rPr>
        <w:t xml:space="preserve">User guide:</w:t>
      </w:r>
      <w:r>
        <w:t xml:space="preserve"> </w:t>
      </w:r>
      <w:r>
        <w:rPr>
          <w:rStyle w:val="VerbatimChar"/>
        </w:rPr>
        <w:t xml:space="preserve">docs/USER_GUIDE.md</w:t>
      </w:r>
      <w:r>
        <w:t xml:space="preserve">;</w:t>
      </w:r>
      <w:r>
        <w:t xml:space="preserve"> </w:t>
      </w:r>
      <w:r>
        <w:rPr>
          <w:b/>
          <w:bCs/>
        </w:rPr>
        <w:t xml:space="preserve">tutorial:</w:t>
      </w:r>
      <w:r>
        <w:t xml:space="preserve"> </w:t>
      </w:r>
      <w:r>
        <w:rPr>
          <w:rStyle w:val="VerbatimChar"/>
        </w:rPr>
        <w:t xml:space="preserve">docs/TUTORIAL.md</w:t>
      </w:r>
      <w:r>
        <w:t xml:space="preserve">.</w:t>
      </w:r>
    </w:p>
    <w:p>
      <w:pPr>
        <w:pStyle w:val="Compact"/>
        <w:numPr>
          <w:ilvl w:val="0"/>
          <w:numId w:val="1005"/>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p>
      <w:pPr>
        <w:pStyle w:val="FirstParagraph"/>
      </w:pPr>
      <w:r>
        <w:rPr>
          <w:b/>
          <w:bCs/>
        </w:rPr>
        <w:t xml:space="preserve">Authorship contribution statement</w:t>
      </w:r>
    </w:p>
    <w:p>
      <w:pPr>
        <w:pStyle w:val="BodyText"/>
      </w:pPr>
      <w:r>
        <w:t xml:space="preserve">Martín Sánchez Insfrán: conceptualization, methodology, software, data curation, formal analysis, validation, visualization, writing—original draft, writing—review and editing, project administration.</w:t>
      </w:r>
    </w:p>
    <w:bookmarkEnd w:id="57"/>
    <w:bookmarkStart w:id="58" w:name="funding"/>
    <w:p>
      <w:pPr>
        <w:pStyle w:val="Heading1"/>
      </w:pPr>
      <w:r>
        <w:t xml:space="preserve">Funding</w:t>
      </w:r>
    </w:p>
    <w:p>
      <w:pPr>
        <w:pStyle w:val="FirstParagraph"/>
      </w:pPr>
      <w:r>
        <w:t xml:space="preserve">This research received no specific grant from public, commercial or not-for-profit funding agencies.</w:t>
      </w:r>
    </w:p>
    <w:bookmarkEnd w:id="58"/>
    <w:bookmarkStart w:id="59" w:name="competing-interests"/>
    <w:p>
      <w:pPr>
        <w:pStyle w:val="Heading1"/>
      </w:pPr>
      <w:r>
        <w:t xml:space="preserve">Competing interests</w:t>
      </w:r>
    </w:p>
    <w:p>
      <w:pPr>
        <w:pStyle w:val="FirstParagraph"/>
      </w:pPr>
      <w:r>
        <w:t xml:space="preserve">The author declares no competing financial or non-financial interests.</w:t>
      </w:r>
    </w:p>
    <w:bookmarkEnd w:id="59"/>
    <w:bookmarkStart w:id="60" w:name="generative-ai-declaration"/>
    <w:p>
      <w:pPr>
        <w:pStyle w:val="Heading1"/>
      </w:pPr>
      <w:r>
        <w:t xml:space="preserve">Generative AI declaration</w:t>
      </w:r>
    </w:p>
    <w:p>
      <w:pPr>
        <w:pStyle w:val="FirstParagraph"/>
      </w:pPr>
      <w:r>
        <w:t xml:space="preserve">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0"/>
    <w:bookmarkStart w:id="113" w:name="references"/>
    <w:p>
      <w:pPr>
        <w:pStyle w:val="Heading1"/>
      </w:pPr>
      <w:r>
        <w:t xml:space="preserve">References</w:t>
      </w:r>
    </w:p>
    <w:bookmarkStart w:id="112" w:name="refs"/>
    <w:bookmarkStart w:id="62"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1">
        <w:r>
          <w:rPr>
            <w:rStyle w:val="Hyperlink"/>
          </w:rPr>
          <w:t xml:space="preserve">https://doi.org/10.3390/rs10091438</w:t>
        </w:r>
      </w:hyperlink>
    </w:p>
    <w:bookmarkEnd w:id="62"/>
    <w:bookmarkStart w:id="64"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3">
        <w:r>
          <w:rPr>
            <w:rStyle w:val="Hyperlink"/>
          </w:rPr>
          <w:t xml:space="preserve">https://doi.org/10.3390/s20226442</w:t>
        </w:r>
      </w:hyperlink>
    </w:p>
    <w:bookmarkEnd w:id="64"/>
    <w:bookmarkStart w:id="66"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5">
        <w:r>
          <w:rPr>
            <w:rStyle w:val="Hyperlink"/>
          </w:rPr>
          <w:t xml:space="preserve">https://doi.org/10.1111/gcb.13521</w:t>
        </w:r>
      </w:hyperlink>
    </w:p>
    <w:bookmarkEnd w:id="66"/>
    <w:bookmarkStart w:id="68"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7">
        <w:r>
          <w:rPr>
            <w:rStyle w:val="Hyperlink"/>
          </w:rPr>
          <w:t xml:space="preserve">https://doi.org/10.1111/j.2007.0906-7590.05171.x</w:t>
        </w:r>
      </w:hyperlink>
    </w:p>
    <w:bookmarkEnd w:id="68"/>
    <w:bookmarkStart w:id="70"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69">
        <w:r>
          <w:rPr>
            <w:rStyle w:val="Hyperlink"/>
          </w:rPr>
          <w:t xml:space="preserve">https://doi.org/10.1071/WF08187</w:t>
        </w:r>
      </w:hyperlink>
    </w:p>
    <w:bookmarkEnd w:id="70"/>
    <w:bookmarkStart w:id="72"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1">
        <w:r>
          <w:rPr>
            <w:rStyle w:val="Hyperlink"/>
          </w:rPr>
          <w:t xml:space="preserve">https://doi.org/10.1007/s10584-015-1521-0</w:t>
        </w:r>
      </w:hyperlink>
    </w:p>
    <w:bookmarkEnd w:id="72"/>
    <w:bookmarkStart w:id="74"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3">
        <w:r>
          <w:rPr>
            <w:rStyle w:val="Hyperlink"/>
          </w:rPr>
          <w:t xml:space="preserve">https://doi.org/10.1126/science.1244693</w:t>
        </w:r>
      </w:hyperlink>
    </w:p>
    <w:bookmarkEnd w:id="74"/>
    <w:bookmarkStart w:id="76"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5">
        <w:r>
          <w:rPr>
            <w:rStyle w:val="Hyperlink"/>
          </w:rPr>
          <w:t xml:space="preserve">https://doi.org/10.1139/er-2020-0019</w:t>
        </w:r>
      </w:hyperlink>
    </w:p>
    <w:bookmarkEnd w:id="76"/>
    <w:bookmarkStart w:id="78"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77">
        <w:r>
          <w:rPr>
            <w:rStyle w:val="Hyperlink"/>
          </w:rPr>
          <w:t xml:space="preserve">https://doi.org/10.1038/ncomms8537</w:t>
        </w:r>
      </w:hyperlink>
    </w:p>
    <w:bookmarkEnd w:id="78"/>
    <w:bookmarkStart w:id="79"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9"/>
    <w:bookmarkStart w:id="81" w:name="ref-legendre1993"/>
    <w:p>
      <w:pPr>
        <w:pStyle w:val="Bibliography"/>
      </w:pPr>
      <w:r>
        <w:t xml:space="preserve">Legendre, P., 1993. Spatial autocorrelation: Trouble or new paradigm? Ecology 74, 1659–1673.</w:t>
      </w:r>
      <w:r>
        <w:t xml:space="preserve"> </w:t>
      </w:r>
      <w:hyperlink r:id="rId80">
        <w:r>
          <w:rPr>
            <w:rStyle w:val="Hyperlink"/>
          </w:rPr>
          <w:t xml:space="preserve">https://doi.org/10.2307/1939924</w:t>
        </w:r>
      </w:hyperlink>
    </w:p>
    <w:bookmarkEnd w:id="81"/>
    <w:bookmarkStart w:id="83"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2">
        <w:r>
          <w:rPr>
            <w:rStyle w:val="Hyperlink"/>
          </w:rPr>
          <w:t xml:space="preserve">https://doi.org/10.1038/s42256-019-0138-9</w:t>
        </w:r>
      </w:hyperlink>
    </w:p>
    <w:bookmarkEnd w:id="83"/>
    <w:bookmarkStart w:id="85"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4">
        <w:r>
          <w:rPr>
            <w:rStyle w:val="Hyperlink"/>
          </w:rPr>
          <w:t xml:space="preserve">https://chaco.mapbiomas.org/</w:t>
        </w:r>
      </w:hyperlink>
      <w:r>
        <w:t xml:space="preserve"> </w:t>
      </w:r>
      <w:r>
        <w:t xml:space="preserve">(accessed 10.28.2026).</w:t>
      </w:r>
    </w:p>
    <w:bookmarkEnd w:id="85"/>
    <w:bookmarkStart w:id="87"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6">
        <w:r>
          <w:rPr>
            <w:rStyle w:val="Hyperlink"/>
          </w:rPr>
          <w:t xml:space="preserve">https://doi.org/10.5194/essd-13-4349-2021</w:t>
        </w:r>
      </w:hyperlink>
    </w:p>
    <w:bookmarkEnd w:id="87"/>
    <w:bookmarkStart w:id="89" w:name="ref-niculescu2005"/>
    <w:p>
      <w:pPr>
        <w:pStyle w:val="Bibliography"/>
      </w:pPr>
      <w:r>
        <w:t xml:space="preserve">Niculescu-Mizil, A., Caruana, R., 2005. Predicting good probabilities with supervised learning, in: Proceedings of the 22nd International Conference on Machine Learning (ICML). pp. 625–632.</w:t>
      </w:r>
      <w:r>
        <w:t xml:space="preserve"> </w:t>
      </w:r>
      <w:hyperlink r:id="rId88">
        <w:r>
          <w:rPr>
            <w:rStyle w:val="Hyperlink"/>
          </w:rPr>
          <w:t xml:space="preserve">https://doi.org/10.1145/1102351.1102430</w:t>
        </w:r>
      </w:hyperlink>
    </w:p>
    <w:bookmarkEnd w:id="89"/>
    <w:bookmarkStart w:id="91"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0">
        <w:r>
          <w:rPr>
            <w:rStyle w:val="Hyperlink"/>
          </w:rPr>
          <w:t xml:space="preserve">https://doi.org/10.1016/j.pecon.2021.06.005</w:t>
        </w:r>
      </w:hyperlink>
    </w:p>
    <w:bookmarkEnd w:id="91"/>
    <w:bookmarkStart w:id="92" w:name="ref-platt1999"/>
    <w:p>
      <w:pPr>
        <w:pStyle w:val="Bibliography"/>
      </w:pPr>
      <w:r>
        <w:t xml:space="preserve">Platt, J., 1999. Probabilistic outputs for support vector machines and comparisons to regularized likelihood methods, in: Advances in Large Margin Classifiers. MIT Press, pp. 61–74.</w:t>
      </w:r>
    </w:p>
    <w:bookmarkEnd w:id="92"/>
    <w:bookmarkStart w:id="94"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3">
        <w:r>
          <w:rPr>
            <w:rStyle w:val="Hyperlink"/>
          </w:rPr>
          <w:t xml:space="preserve">https://doi.org/10.1038/s41467-020-18321-y</w:t>
        </w:r>
      </w:hyperlink>
    </w:p>
    <w:bookmarkEnd w:id="94"/>
    <w:bookmarkStart w:id="96" w:name="ref-raasveldt2019duckdb"/>
    <w:p>
      <w:pPr>
        <w:pStyle w:val="Bibliography"/>
      </w:pPr>
      <w:r>
        <w:t xml:space="preserve">Raasveldt, M., Mühleisen, H., 2019. DuckDB: An embeddable analytical database, in: Proceedings of the 2019 International Conference on Management of Data (SIGMOD). pp. 1981–1984.</w:t>
      </w:r>
      <w:r>
        <w:t xml:space="preserve"> </w:t>
      </w:r>
      <w:hyperlink r:id="rId95">
        <w:r>
          <w:rPr>
            <w:rStyle w:val="Hyperlink"/>
          </w:rPr>
          <w:t xml:space="preserve">https://doi.org/10.1145/3299869.3320212</w:t>
        </w:r>
      </w:hyperlink>
    </w:p>
    <w:bookmarkEnd w:id="96"/>
    <w:bookmarkStart w:id="98"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7">
        <w:r>
          <w:rPr>
            <w:rStyle w:val="Hyperlink"/>
          </w:rPr>
          <w:t xml:space="preserve">https://doi.org/10.1111/ecog.02881</w:t>
        </w:r>
      </w:hyperlink>
    </w:p>
    <w:bookmarkEnd w:id="98"/>
    <w:bookmarkStart w:id="100"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99">
        <w:r>
          <w:rPr>
            <w:rStyle w:val="Hyperlink"/>
          </w:rPr>
          <w:t xml:space="preserve">https://doi.org/10.5772/28441</w:t>
        </w:r>
      </w:hyperlink>
    </w:p>
    <w:bookmarkEnd w:id="100"/>
    <w:bookmarkStart w:id="102"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1">
        <w:r>
          <w:rPr>
            <w:rStyle w:val="Hyperlink"/>
          </w:rPr>
          <w:t xml:space="preserve">https://doi.org/10.1016/j.rse.2013.12.008</w:t>
        </w:r>
      </w:hyperlink>
    </w:p>
    <w:bookmarkEnd w:id="102"/>
    <w:bookmarkStart w:id="104"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3">
        <w:r>
          <w:rPr>
            <w:rStyle w:val="Hyperlink"/>
          </w:rPr>
          <w:t xml:space="preserve">http://queimadas.dgi.inpe.br</w:t>
        </w:r>
      </w:hyperlink>
      <w:r>
        <w:t xml:space="preserve"> </w:t>
      </w:r>
      <w:r>
        <w:t xml:space="preserve">(accessed 10.28.2026).</w:t>
      </w:r>
    </w:p>
    <w:bookmarkEnd w:id="104"/>
    <w:bookmarkStart w:id="106"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5">
        <w:r>
          <w:rPr>
            <w:rStyle w:val="Hyperlink"/>
          </w:rPr>
          <w:t xml:space="preserve">https://doi.org/10.5558/tfc65258-4</w:t>
        </w:r>
      </w:hyperlink>
    </w:p>
    <w:bookmarkEnd w:id="106"/>
    <w:bookmarkStart w:id="108"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07">
        <w:r>
          <w:rPr>
            <w:rStyle w:val="Hyperlink"/>
          </w:rPr>
          <w:t xml:space="preserve">https://doi.org/10.2307/143141</w:t>
        </w:r>
      </w:hyperlink>
    </w:p>
    <w:bookmarkEnd w:id="108"/>
    <w:bookmarkStart w:id="110"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09">
        <w:r>
          <w:rPr>
            <w:rStyle w:val="Hyperlink"/>
          </w:rPr>
          <w:t xml:space="preserve">https://doi.org/10.1016/j.jaridenv.2014.11.009</w:t>
        </w:r>
      </w:hyperlink>
    </w:p>
    <w:bookmarkEnd w:id="110"/>
    <w:bookmarkStart w:id="111"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1"/>
    <w:bookmarkEnd w:id="112"/>
    <w:bookmarkEnd w:id="113"/>
    <w:bookmarkStart w:id="114" w:name="list-of-figures"/>
    <w:p>
      <w:pPr>
        <w:pStyle w:val="Heading1"/>
      </w:pPr>
      <w:r>
        <w:t xml:space="preserve">List of Figures</w:t>
      </w:r>
    </w:p>
    <w:p>
      <w:pPr>
        <w:pStyle w:val="FirstParagraph"/>
      </w:pPr>
      <w:r>
        <w:t xml:space="preserve">Figure 1: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BodyText"/>
      </w:pPr>
      <w:r>
        <w:t xml:space="preserve">Figure 2: Study domain and regional split: Dry Chaco (west) and Oriental Region (east) over the national 1-km² grid (EPSG:32721).</w:t>
      </w:r>
    </w:p>
    <w:p>
      <w:pPr>
        <w:pStyle w:val="BodyText"/>
      </w:pPr>
      <w:r>
        <w:t xml:space="preserve">Figure 3: ROC and precision–recall curves for the retrospective D2 test (2024–2025), by region and task. The ignition curves correspond to M3; propagation uses the causal t-1 layer.</w:t>
      </w:r>
    </w:p>
    <w:p>
      <w:pPr>
        <w:pStyle w:val="BodyText"/>
      </w:pPr>
      <w:r>
        <w:t xml:space="preserve">Figure 4: ROC and precision–recall curves for M3 against full Canadian FWI, INPE and the weather-only GBT under D2.</w:t>
      </w:r>
    </w:p>
    <w:p>
      <w:pPr>
        <w:pStyle w:val="BodyText"/>
      </w:pPr>
      <w:r>
        <w:t xml:space="preserve">Figure 5: Illustrative national 1-km² alert map for 2024-09-09, showing the spatial distribution of low, moderate and high alert cells.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103" Target="http://queimadas.dgi.inpe.br" TargetMode="External" /><Relationship Type="http://schemas.openxmlformats.org/officeDocument/2006/relationships/hyperlink" Id="rId84" Target="https://chaco.mapbiomas.org/" TargetMode="External" /><Relationship Type="http://schemas.openxmlformats.org/officeDocument/2006/relationships/hyperlink" Id="rId71" Target="https://doi.org/10.1007/s10584-015-1521-0" TargetMode="External" /><Relationship Type="http://schemas.openxmlformats.org/officeDocument/2006/relationships/hyperlink" Id="rId109" Target="https://doi.org/10.1016/j.jaridenv.2014.11.009" TargetMode="External" /><Relationship Type="http://schemas.openxmlformats.org/officeDocument/2006/relationships/hyperlink" Id="rId90" Target="https://doi.org/10.1016/j.pecon.2021.06.005" TargetMode="External" /><Relationship Type="http://schemas.openxmlformats.org/officeDocument/2006/relationships/hyperlink" Id="rId101" Target="https://doi.org/10.1016/j.rse.2013.12.008" TargetMode="External" /><Relationship Type="http://schemas.openxmlformats.org/officeDocument/2006/relationships/hyperlink" Id="rId77" Target="https://doi.org/10.1038/ncomms8537" TargetMode="External" /><Relationship Type="http://schemas.openxmlformats.org/officeDocument/2006/relationships/hyperlink" Id="rId93" Target="https://doi.org/10.1038/s41467-020-18321-y" TargetMode="External" /><Relationship Type="http://schemas.openxmlformats.org/officeDocument/2006/relationships/hyperlink" Id="rId82" Target="https://doi.org/10.1038/s42256-019-0138-9" TargetMode="External" /><Relationship Type="http://schemas.openxmlformats.org/officeDocument/2006/relationships/hyperlink" Id="rId69" Target="https://doi.org/10.1071/WF08187" TargetMode="External" /><Relationship Type="http://schemas.openxmlformats.org/officeDocument/2006/relationships/hyperlink" Id="rId97"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3" Target="https://doi.org/10.1126/science.1244693" TargetMode="External" /><Relationship Type="http://schemas.openxmlformats.org/officeDocument/2006/relationships/hyperlink" Id="rId75" Target="https://doi.org/10.1139/er-2020-0019" TargetMode="External" /><Relationship Type="http://schemas.openxmlformats.org/officeDocument/2006/relationships/hyperlink" Id="rId88" Target="https://doi.org/10.1145/1102351.1102430" TargetMode="External" /><Relationship Type="http://schemas.openxmlformats.org/officeDocument/2006/relationships/hyperlink" Id="rId95" Target="https://doi.org/10.1145/3299869.3320212" TargetMode="External" /><Relationship Type="http://schemas.openxmlformats.org/officeDocument/2006/relationships/hyperlink" Id="rId107" Target="https://doi.org/10.2307/143141" TargetMode="External" /><Relationship Type="http://schemas.openxmlformats.org/officeDocument/2006/relationships/hyperlink" Id="rId80"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86" Target="https://doi.org/10.5194/essd-13-4349-2021" TargetMode="External" /><Relationship Type="http://schemas.openxmlformats.org/officeDocument/2006/relationships/hyperlink" Id="rId56"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5" Target="https://doi.org/10.5558/tfc65258-4" TargetMode="External" /><Relationship Type="http://schemas.openxmlformats.org/officeDocument/2006/relationships/hyperlink" Id="rId99" Target="https://doi.org/10.5772/28441" TargetMode="External" /><Relationship Type="http://schemas.openxmlformats.org/officeDocument/2006/relationships/hyperlink" Id="rId52"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103" Target="http://queimadas.dgi.inpe.br" TargetMode="External" /><Relationship Type="http://schemas.openxmlformats.org/officeDocument/2006/relationships/hyperlink" Id="rId84" Target="https://chaco.mapbiomas.org/" TargetMode="External" /><Relationship Type="http://schemas.openxmlformats.org/officeDocument/2006/relationships/hyperlink" Id="rId71" Target="https://doi.org/10.1007/s10584-015-1521-0" TargetMode="External" /><Relationship Type="http://schemas.openxmlformats.org/officeDocument/2006/relationships/hyperlink" Id="rId109" Target="https://doi.org/10.1016/j.jaridenv.2014.11.009" TargetMode="External" /><Relationship Type="http://schemas.openxmlformats.org/officeDocument/2006/relationships/hyperlink" Id="rId90" Target="https://doi.org/10.1016/j.pecon.2021.06.005" TargetMode="External" /><Relationship Type="http://schemas.openxmlformats.org/officeDocument/2006/relationships/hyperlink" Id="rId101" Target="https://doi.org/10.1016/j.rse.2013.12.008" TargetMode="External" /><Relationship Type="http://schemas.openxmlformats.org/officeDocument/2006/relationships/hyperlink" Id="rId77" Target="https://doi.org/10.1038/ncomms8537" TargetMode="External" /><Relationship Type="http://schemas.openxmlformats.org/officeDocument/2006/relationships/hyperlink" Id="rId93" Target="https://doi.org/10.1038/s41467-020-18321-y" TargetMode="External" /><Relationship Type="http://schemas.openxmlformats.org/officeDocument/2006/relationships/hyperlink" Id="rId82" Target="https://doi.org/10.1038/s42256-019-0138-9" TargetMode="External" /><Relationship Type="http://schemas.openxmlformats.org/officeDocument/2006/relationships/hyperlink" Id="rId69" Target="https://doi.org/10.1071/WF08187" TargetMode="External" /><Relationship Type="http://schemas.openxmlformats.org/officeDocument/2006/relationships/hyperlink" Id="rId97"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3" Target="https://doi.org/10.1126/science.1244693" TargetMode="External" /><Relationship Type="http://schemas.openxmlformats.org/officeDocument/2006/relationships/hyperlink" Id="rId75" Target="https://doi.org/10.1139/er-2020-0019" TargetMode="External" /><Relationship Type="http://schemas.openxmlformats.org/officeDocument/2006/relationships/hyperlink" Id="rId88" Target="https://doi.org/10.1145/1102351.1102430" TargetMode="External" /><Relationship Type="http://schemas.openxmlformats.org/officeDocument/2006/relationships/hyperlink" Id="rId95" Target="https://doi.org/10.1145/3299869.3320212" TargetMode="External" /><Relationship Type="http://schemas.openxmlformats.org/officeDocument/2006/relationships/hyperlink" Id="rId107" Target="https://doi.org/10.2307/143141" TargetMode="External" /><Relationship Type="http://schemas.openxmlformats.org/officeDocument/2006/relationships/hyperlink" Id="rId80"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86" Target="https://doi.org/10.5194/essd-13-4349-2021" TargetMode="External" /><Relationship Type="http://schemas.openxmlformats.org/officeDocument/2006/relationships/hyperlink" Id="rId56"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5" Target="https://doi.org/10.5558/tfc65258-4" TargetMode="External" /><Relationship Type="http://schemas.openxmlformats.org/officeDocument/2006/relationships/hyperlink" Id="rId99" Target="https://doi.org/10.5772/28441" TargetMode="External" /><Relationship Type="http://schemas.openxmlformats.org/officeDocument/2006/relationships/hyperlink" Id="rId52"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
  <dc:language>en</dc:language>
  <cp:keywords/>
  <dcterms:created xsi:type="dcterms:W3CDTF">2026-10-29T11:32:48Z</dcterms:created>
  <dcterms:modified xsi:type="dcterms:W3CDTF">2026-10-29T11:32:48Z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