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0.5059/0.5611 del Canadian Forest Fire Weather Index (FWI) y 0.5266/0.4973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Las detecciones recurrentes en la misma celda dentro de 2–10 días sin un vecino activo a menos de 25 km el día</w:t>
      </w:r>
      <w:r>
        <w:t xml:space="preserve"> </w:t>
      </w:r>
      <m:oMath>
        <m:r>
          <m:t>t</m:t>
        </m:r>
        <m:r>
          <m:rPr>
            <m:sty m:val="p"/>
          </m:rPr>
          <m:t>−</m:t>
        </m:r>
        <m:r>
          <m:t>1</m:t>
        </m:r>
      </m:oMath>
      <w:r>
        <w:t xml:space="preserve"> </w:t>
      </w:r>
      <w:r>
        <w:t xml:space="preserve">—típicamente brasas latentes multidiarias u omisiones satelitales por nubosidad— no se asignan a ninguno de los conjuntos positivos; permanecen como negativas candidatas. Esto evita que la persistencia de brasas contamine el objetivo de ignición.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Estos umbrales son operativos más que un modelo formal de extinción: las celdas-día con VPD &lt; 0.8 kPa o ≥ 10 mm de lluvia en 48 h se excluyen por húmedas o persistentemente húmedas, mientras que se retienen combustibles finos suficientemente curados. El gate no se usa como filtro de etiquetas: solo elimina candidatos físicamente implausibles. Un gate más estricto y una muestra independiente sin gate se evalúan en la Nota S5.6 y la Tabla S31; ninguno cambia el ranking de los modelos.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393447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393447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(a) Los insumos diarios de 1 km² (VIIRS 375 m, ERA5-Land 3-hourly, MapBiomas C2, Hansen GFC y priors históricos causales) pasan por una compuerta biofísica (fuel = 1, VPD ≥ 0.8 kPa, lluvia de 48 h &lt; 10 mm); la compuerta elimina 21.7 % de los cell-days pero retiene 97.17 % de las detecciones térmicas y no filtra etiquetas. (b) D2 separa la ignición primaria de la propagación táctica; los dominios son disjuntos.</w:t>
            </w:r>
            <w:r>
              <w:t xml:space="preserve"> </w:t>
            </w:r>
            <w:r>
              <w:rPr>
                <w:rStyle w:val="VerbatimChar"/>
              </w:rPr>
              <w:t xml:space="preserve">N25(i,t−1)</w:t>
            </w:r>
            <w:r>
              <w:t xml:space="preserve"> </w:t>
            </w:r>
            <w:r>
              <w:t xml:space="preserve">es el conjunto de celdas a ≤25 km con fuego en t−1 y</w:t>
            </w:r>
            <w:r>
              <w:t xml:space="preserve"> </w:t>
            </w:r>
            <w:r>
              <w:rPr>
                <w:rStyle w:val="VerbatimChar"/>
              </w:rPr>
              <w:t xml:space="preserve">H10(i,t)</w:t>
            </w:r>
            <w:r>
              <w:t xml:space="preserve"> </w:t>
            </w:r>
            <w:r>
              <w:t xml:space="preserve">cualquier detección en la misma celda en los 10 d previos. (c) La ignición operativa usa M3 para celdas con</w:t>
            </w:r>
            <w:r>
              <w:t xml:space="preserve"> </w:t>
            </w:r>
            <w:r>
              <w:rPr>
                <w:rStyle w:val="VerbatimChar"/>
              </w:rPr>
              <w:t xml:space="preserve">freq_hist_1km &gt; 0</w:t>
            </w:r>
            <w:r>
              <w:t xml:space="preserve"> </w:t>
            </w:r>
            <w:r>
              <w:t xml:space="preserve">y M2 como fallback para</w:t>
            </w:r>
            <w:r>
              <w:t xml:space="preserve"> </w:t>
            </w:r>
            <w:r>
              <w:rPr>
                <w:rStyle w:val="VerbatimChar"/>
              </w:rPr>
              <w:t xml:space="preserve">freq_hist_1km = 0</w:t>
            </w:r>
            <w:r>
              <w:t xml:space="preserve">; la propagación usa un kernel causal en t−1. Las probabilidades se calibran con una transformación de Platt monótona y un corte F0.5 congelado tras la corrección de prevalencia; M1 (24 variables) es una línea base diagnóstica y no se muestra. (d) La evaluación usa un split temporal (2018–2022/2023/2024–2025), bloques espaciales de 50 km con un buffer de 20 km, bootstrap agrupado por fecha (500 IC de AUC; 1 000 pareadas), cost-loss y código/datos abiertos; el buffer de 20 km se aplica solo al holdout espacial.</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y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 el protocolo de robustez está en la Nota S5.</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y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El margen preespecificado δ = 0.01 se cumplió en Oriental para ROC-AUC y PR-AUC, pero no en el Chaco: las ganancias del Chaco fueron +0.0028 y +0.0089, por debajo de δ, aunque ambos intervalos excluyen cero. Por tanto, no se afirma que M3 sea superior a M2 en el Chaco. La arquitectura compartida usa M3 donde existe historia de fuego porque el componente de propagación es el objetivo operativo; la ganancia de ignición en el Chaco es incremental.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5.3× y 4.8× superior al azar, mientras que la de propagación es aproximadamente 62× y 23× superior. Con ponderación poblacional, M2 supera ligeramente a M3 en ROC-AUC poblacional del Chaco (0.8078 vs. 0.8059) y en precisión (0.090 % vs. 0.082 %), mientras que M3 lidera en la Región Oriental (0.7627 vs. 0.7549).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+0.2963 en el Chaco y +0.1922 en la Región Oriental, y al INPE por +0.2756 y +0.2561.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3.1285 y 0.0364 en el Chaco y 20.4720 y 0.0596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0.5059/0.5611 y el INPE de 0.5266/0.4973;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0.4976/0.5497 frente a 0.5266/0.4973 con A local (ΔROC = −0.0290/+0.0524;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0.8018/0.7548 frente a 0.8021/0.7534 de M3 (Δ = −0.0003/+0.0015; p = 0.612/0.001;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+0.0453/+0.0034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de 1 km² únicas; 16 579/14 551 celdas-día de ignición muestreadas en Chaco/Oriental),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(+0.0059/+0.0059;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 El aumento de ROC-AUC en el subconjunto sin fuego en entrenamiento es consistente con la eliminación de celdas crónicamente quemadas que actúan como negativos difíciles; como la prevalencia cae a 7.66 % en el Chaco, PR-AUC y precisión no son directamente comparables entre subconjuntos.</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 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 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 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(0.4988/0.5528;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 Un control negativo con etiquetas permutadas alcanzó AUC 0.6297/0.5138; quitar las variables históricas no eliminó el exceso (0.6276/0.5168), lo que indica asociación residual de celda o fuga de variables en el Chaco (Tabla S32; Figura S7). El score de M3 debe leerse, por tanto, como una señal de nowcast/priorización, no como una atribución causal. La validación espacial externa en Boquerón, tras excluir el departamento y un buffer de 25 km y recalcular los priors, reprodujo la discriminación M2/M3 (ROC-AUC 0.8104/0.8120; PR-AUC 0.2440/0.2505) pero no una ganancia M3−M2 significativa (+0.0016; p = 0.254). El FWI quedó por debajo del azar (0.4708) y el INPE alcanzó 0.5817 (Tabla S33; Figura S9). La precisión poblacional fue 0.0891 %/0.0678 % para M2/M3, con recall 16.2 %/27.1 %; M3 cambia precisión por recall. La diferencia M3−M2 fue +0.0039 (p = 0.010) con buffer de 20 km, +0.0016 (p = 0.254) con 25 km y +0.0020 (p = 0.206) con 30 km (Tabla S33b), por lo que la ventaja híbrida no es robusta al buffer. El ranking se transporta espacialmente, pero la preferencia operativa por M3 frente a M2 no.</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−0.01/4.1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tiene valor de decisión positivo solo con α = 0.0001 en el Chaco (V = 0.070) y α = 0.0005 en Oriental (V = 0.077); INPE no es positivo en ningún α (V ≤ 0). Incluso en esa ventana estrecha, FWI queda muy por debajo de M3 (0.372/0.313).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 El anillo conspicuo de alertas altas en el norte de Alto Paraguay es la huella de propagación de 25 km en t−1 alrededor del frente de Chovoreca, no una predicción independiente de ignición.</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La tabla completa de cobertura conformal empírica está en la Tabla S5 del suplemento, y los errores de calibración esperados de los modelos de referencia están en la Tabla S11.</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v2.1.0;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Un control negativo con etiquetas permutadas afina este punto. Reentrenar M3 con etiquetas de entrenamiento permutadas da AUC 0.6297/0.5138, y quitar las variables históricas no elimina el exceso (0.6276/0.5168). Un control sin fuga debería estar cerca de 0.5. El exceso en el Chaco indica, por tanto, información residual de celda o de variables: no prueba que el ranking principal sea erróneo, pero obliga a evitar una lectura causal y a auditar los priors históricos y los descriptores estáticos de celda. El control se reporta en la Tabla S32 y la Figura S7.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dos macro-regiones de Paraguay e incluye solo una prueba exploratoria entre países en Formosa; esa prueba no alcanzó el umbral pre-registrado de transporte y no es una validación multi-país completa.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El test de Boquerón es dentro de Paraguay y aporta métricas poblacionales derivadas; el piloto entre países en Formosa fue exploratorio, usó otra fuente climática (CDS/Hargreaves) y no alcanzó el umbral de transporte, por lo que la pequeña ganancia de M3 allí no es evidencia de superioridad entre países.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0.5059/0.5611) y al Risco de Fogo del INPE (0.5266/0.4973),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 Un control negativo con etiquetas permutadas sigue por encima del azar en el Chaco (0.63), por lo que este ranking es una señal de nowcast y no una atribución causal. Un test externo leave-one-department-out en Boquerón reprodujo la discriminación M2/M3 (0.8104/0.8120) pero no una ganancia M3−M2 significativa (+0.0016, p = 0.254); el FWI quedó por debajo del azar (0.4708) y el INPE alcanzó 0.5817.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v2.1.0 de GitHub (</w:t>
      </w:r>
      <w:hyperlink r:id="rId53">
        <w:r>
          <w:rPr>
            <w:rStyle w:val="Hyperlink"/>
          </w:rPr>
          <w:t xml:space="preserve">https://github.com/sanchezmartin093-code/Incendios_PY/releases/tag/v2.1.0</w:t>
        </w:r>
      </w:hyperlink>
      <w:r>
        <w:t xml:space="preserve">; asset</w:t>
      </w:r>
      <w:r>
        <w:t xml:space="preserve"> </w:t>
      </w:r>
      <w:r>
        <w:rPr>
          <w:rStyle w:val="VerbatimChar"/>
        </w:rPr>
        <w:t xml:space="preserve">Incendios_PY_data_v2.1.0.zip</w:t>
      </w:r>
      <w:r>
        <w:t xml:space="preserve">) bajo CC BY 4.0, y se documentan bajo el DOI conceptual de datos</w:t>
      </w:r>
      <w:r>
        <w:t xml:space="preserve"> </w:t>
      </w:r>
      <w:hyperlink r:id="rId54">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3"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conceptual del código (última versión):</w:t>
      </w:r>
      <w:r>
        <w:t xml:space="preserve"> </w:t>
      </w:r>
      <w:hyperlink r:id="rId62">
        <w:r>
          <w:rPr>
            <w:rStyle w:val="Hyperlink"/>
          </w:rPr>
          <w:t xml:space="preserve">10.5281/zenodo.23675104</w:t>
        </w:r>
      </w:hyperlink>
      <w:r>
        <w:br/>
      </w:r>
      <w:r>
        <w:rPr>
          <w:b/>
          <w:bCs/>
        </w:rPr>
        <w:t xml:space="preserve">DOI conceptual de los datos (última versión):</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3"/>
    <w:bookmarkStart w:id="116" w:name="referencias"/>
    <w:p>
      <w:pPr>
        <w:pStyle w:val="Heading1"/>
      </w:pPr>
      <w:r>
        <w:t xml:space="preserve">Referencias</w:t>
      </w:r>
    </w:p>
    <w:bookmarkStart w:id="115" w:name="refs"/>
    <w:bookmarkStart w:id="65"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4">
        <w:r>
          <w:rPr>
            <w:rStyle w:val="Hyperlink"/>
          </w:rPr>
          <w:t xml:space="preserve">https://doi.org/10.3390/rs10091438</w:t>
        </w:r>
      </w:hyperlink>
    </w:p>
    <w:bookmarkEnd w:id="65"/>
    <w:bookmarkStart w:id="67"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6">
        <w:r>
          <w:rPr>
            <w:rStyle w:val="Hyperlink"/>
          </w:rPr>
          <w:t xml:space="preserve">https://doi.org/10.3390/s20226442</w:t>
        </w:r>
      </w:hyperlink>
    </w:p>
    <w:bookmarkEnd w:id="67"/>
    <w:bookmarkStart w:id="69"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8">
        <w:r>
          <w:rPr>
            <w:rStyle w:val="Hyperlink"/>
          </w:rPr>
          <w:t xml:space="preserve">https://doi.org/10.1111/gcb.13521</w:t>
        </w:r>
      </w:hyperlink>
    </w:p>
    <w:bookmarkEnd w:id="69"/>
    <w:bookmarkStart w:id="71"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70">
        <w:r>
          <w:rPr>
            <w:rStyle w:val="Hyperlink"/>
          </w:rPr>
          <w:t xml:space="preserve">https://doi.org/10.1111/j.2007.0906-7590.05171.x</w:t>
        </w:r>
      </w:hyperlink>
    </w:p>
    <w:bookmarkEnd w:id="71"/>
    <w:bookmarkStart w:id="73"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72">
        <w:r>
          <w:rPr>
            <w:rStyle w:val="Hyperlink"/>
          </w:rPr>
          <w:t xml:space="preserve">https://doi.org/10.1071/WF08187</w:t>
        </w:r>
      </w:hyperlink>
    </w:p>
    <w:bookmarkEnd w:id="73"/>
    <w:bookmarkStart w:id="75"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4">
        <w:r>
          <w:rPr>
            <w:rStyle w:val="Hyperlink"/>
          </w:rPr>
          <w:t xml:space="preserve">https://doi.org/10.1007/s10584-015-1521-0</w:t>
        </w:r>
      </w:hyperlink>
    </w:p>
    <w:bookmarkEnd w:id="75"/>
    <w:bookmarkStart w:id="77"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6">
        <w:r>
          <w:rPr>
            <w:rStyle w:val="Hyperlink"/>
          </w:rPr>
          <w:t xml:space="preserve">https://doi.org/10.1126/science.1244693</w:t>
        </w:r>
      </w:hyperlink>
    </w:p>
    <w:bookmarkEnd w:id="77"/>
    <w:bookmarkStart w:id="79"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8">
        <w:r>
          <w:rPr>
            <w:rStyle w:val="Hyperlink"/>
          </w:rPr>
          <w:t xml:space="preserve">https://doi.org/10.1139/er-2020-0019</w:t>
        </w:r>
      </w:hyperlink>
    </w:p>
    <w:bookmarkEnd w:id="79"/>
    <w:bookmarkStart w:id="81"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80">
        <w:r>
          <w:rPr>
            <w:rStyle w:val="Hyperlink"/>
          </w:rPr>
          <w:t xml:space="preserve">https://doi.org/10.1038/ncomms8537</w:t>
        </w:r>
      </w:hyperlink>
    </w:p>
    <w:bookmarkEnd w:id="81"/>
    <w:bookmarkStart w:id="8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82"/>
    <w:bookmarkStart w:id="84" w:name="ref-legendre1993"/>
    <w:p>
      <w:pPr>
        <w:pStyle w:val="Bibliography"/>
      </w:pPr>
      <w:r>
        <w:t xml:space="preserve">Legendre, P., 1993. Spatial autocorrelation: trouble or new paradigm? Ecology 74, 1659-1673.</w:t>
      </w:r>
      <w:r>
        <w:t xml:space="preserve"> </w:t>
      </w:r>
      <w:hyperlink r:id="rId83">
        <w:r>
          <w:rPr>
            <w:rStyle w:val="Hyperlink"/>
          </w:rPr>
          <w:t xml:space="preserve">https://doi.org/10.2307/1939924</w:t>
        </w:r>
      </w:hyperlink>
    </w:p>
    <w:bookmarkEnd w:id="84"/>
    <w:bookmarkStart w:id="86"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5">
        <w:r>
          <w:rPr>
            <w:rStyle w:val="Hyperlink"/>
          </w:rPr>
          <w:t xml:space="preserve">https://doi.org/10.1038/s42256-019-0138-9</w:t>
        </w:r>
      </w:hyperlink>
    </w:p>
    <w:bookmarkEnd w:id="86"/>
    <w:bookmarkStart w:id="88"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7">
        <w:r>
          <w:rPr>
            <w:rStyle w:val="Hyperlink"/>
          </w:rPr>
          <w:t xml:space="preserve">https://chaco.mapbiomas.org/</w:t>
        </w:r>
      </w:hyperlink>
      <w:r>
        <w:t xml:space="preserve"> </w:t>
      </w:r>
      <w:r>
        <w:t xml:space="preserve">(accedido 10.28.2026).</w:t>
      </w:r>
    </w:p>
    <w:bookmarkEnd w:id="88"/>
    <w:bookmarkStart w:id="90"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9">
        <w:r>
          <w:rPr>
            <w:rStyle w:val="Hyperlink"/>
          </w:rPr>
          <w:t xml:space="preserve">https://doi.org/10.5194/essd-13-4349-2021</w:t>
        </w:r>
      </w:hyperlink>
    </w:p>
    <w:bookmarkEnd w:id="90"/>
    <w:bookmarkStart w:id="92" w:name="ref-niculescu2005"/>
    <w:p>
      <w:pPr>
        <w:pStyle w:val="Bibliography"/>
      </w:pPr>
      <w:r>
        <w:t xml:space="preserve">Niculescu-Mizil, A., Caruana, R., 2005. Predicting good probabilities with supervised learning, en: Proceedings of the 22nd International Conference on Machine Learning (ICML). pp. 625-632.</w:t>
      </w:r>
      <w:r>
        <w:t xml:space="preserve"> </w:t>
      </w:r>
      <w:hyperlink r:id="rId91">
        <w:r>
          <w:rPr>
            <w:rStyle w:val="Hyperlink"/>
          </w:rPr>
          <w:t xml:space="preserve">https://doi.org/10.1145/1102351.1102430</w:t>
        </w:r>
      </w:hyperlink>
    </w:p>
    <w:bookmarkEnd w:id="92"/>
    <w:bookmarkStart w:id="94"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3">
        <w:r>
          <w:rPr>
            <w:rStyle w:val="Hyperlink"/>
          </w:rPr>
          <w:t xml:space="preserve">https://doi.org/10.1016/j.pecon.2021.06.005</w:t>
        </w:r>
      </w:hyperlink>
    </w:p>
    <w:bookmarkEnd w:id="94"/>
    <w:bookmarkStart w:id="95" w:name="ref-platt1999"/>
    <w:p>
      <w:pPr>
        <w:pStyle w:val="Bibliography"/>
      </w:pPr>
      <w:r>
        <w:t xml:space="preserve">Platt, J., 1999. Probabilistic outputs for support vector machines and comparisons to regularized likelihood methods, en: Advances in Large Margin Classifiers. MIT Press, pp. 61-74.</w:t>
      </w:r>
    </w:p>
    <w:bookmarkEnd w:id="95"/>
    <w:bookmarkStart w:id="97"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6">
        <w:r>
          <w:rPr>
            <w:rStyle w:val="Hyperlink"/>
          </w:rPr>
          <w:t xml:space="preserve">https://doi.org/10.1038/s41467-020-18321-y</w:t>
        </w:r>
      </w:hyperlink>
    </w:p>
    <w:bookmarkEnd w:id="97"/>
    <w:bookmarkStart w:id="99" w:name="ref-raasveldt2019duckdb"/>
    <w:p>
      <w:pPr>
        <w:pStyle w:val="Bibliography"/>
      </w:pPr>
      <w:r>
        <w:t xml:space="preserve">Raasveldt, M., Mühleisen, H., 2019. DuckDB: an Embeddable Analytical Database, en: Proceedings of the 2019 International Conference on Management of Data (SIGMOD). pp. 1981-1984.</w:t>
      </w:r>
      <w:r>
        <w:t xml:space="preserve"> </w:t>
      </w:r>
      <w:hyperlink r:id="rId98">
        <w:r>
          <w:rPr>
            <w:rStyle w:val="Hyperlink"/>
          </w:rPr>
          <w:t xml:space="preserve">https://doi.org/10.1145/3299869.3320212</w:t>
        </w:r>
      </w:hyperlink>
    </w:p>
    <w:bookmarkEnd w:id="99"/>
    <w:bookmarkStart w:id="101"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100">
        <w:r>
          <w:rPr>
            <w:rStyle w:val="Hyperlink"/>
          </w:rPr>
          <w:t xml:space="preserve">https://doi.org/10.1111/ecog.02881</w:t>
        </w:r>
      </w:hyperlink>
    </w:p>
    <w:bookmarkEnd w:id="101"/>
    <w:bookmarkStart w:id="103"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102">
        <w:r>
          <w:rPr>
            <w:rStyle w:val="Hyperlink"/>
          </w:rPr>
          <w:t xml:space="preserve">https://doi.org/10.5772/28441</w:t>
        </w:r>
      </w:hyperlink>
    </w:p>
    <w:bookmarkEnd w:id="103"/>
    <w:bookmarkStart w:id="105"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4">
        <w:r>
          <w:rPr>
            <w:rStyle w:val="Hyperlink"/>
          </w:rPr>
          <w:t xml:space="preserve">https://doi.org/10.1016/j.rse.2013.12.008</w:t>
        </w:r>
      </w:hyperlink>
    </w:p>
    <w:bookmarkEnd w:id="105"/>
    <w:bookmarkStart w:id="107"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6">
        <w:r>
          <w:rPr>
            <w:rStyle w:val="Hyperlink"/>
          </w:rPr>
          <w:t xml:space="preserve">http://queimadas.dgi.inpe.br</w:t>
        </w:r>
      </w:hyperlink>
      <w:r>
        <w:t xml:space="preserve"> </w:t>
      </w:r>
      <w:r>
        <w:t xml:space="preserve">(accedido 10.28.2026).</w:t>
      </w:r>
    </w:p>
    <w:bookmarkEnd w:id="107"/>
    <w:bookmarkStart w:id="109"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8">
        <w:r>
          <w:rPr>
            <w:rStyle w:val="Hyperlink"/>
          </w:rPr>
          <w:t xml:space="preserve">https://doi.org/10.5558/tfc65258-4</w:t>
        </w:r>
      </w:hyperlink>
    </w:p>
    <w:bookmarkEnd w:id="109"/>
    <w:bookmarkStart w:id="111"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10">
        <w:r>
          <w:rPr>
            <w:rStyle w:val="Hyperlink"/>
          </w:rPr>
          <w:t xml:space="preserve">https://doi.org/10.2307/143141</w:t>
        </w:r>
      </w:hyperlink>
    </w:p>
    <w:bookmarkEnd w:id="111"/>
    <w:bookmarkStart w:id="113"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12">
        <w:r>
          <w:rPr>
            <w:rStyle w:val="Hyperlink"/>
          </w:rPr>
          <w:t xml:space="preserve">https://doi.org/10.1016/j.jaridenv.2014.11.009</w:t>
        </w:r>
      </w:hyperlink>
    </w:p>
    <w:bookmarkEnd w:id="113"/>
    <w:bookmarkStart w:id="11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_rels/footnotes.xml.rels><?xml version="1.0" encoding="UTF-8"?><Relationships xmlns="http://schemas.openxmlformats.org/package/2006/relationships"><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2026-10-29T11:32:56Z</dcterms:created>
  <dcterms:modified xsi:type="dcterms:W3CDTF">2026-10-29T11:32:56Z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