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(2015–2025)”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(2015–2025): A Reproducible Two-Stage Computational Framework for 24-Hour Forecasting and International Benchmarking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 decadal observation baseline (2015–2025). We analytically decouple the operational task into two distinct models: (i)</w:t>
      </w:r>
      <w:r>
        <w:t xml:space="preserve"> </w:t>
      </w:r>
      <w:r>
        <w:rPr>
          <w:b/>
          <w:bCs/>
        </w:rPr>
        <w:t xml:space="preserve">Pure Biophysical Ignition</w:t>
      </w:r>
      <w:r>
        <w:t xml:space="preserve">, guided by physics-based monotonic constraints and leakage-free spatial susceptibility priors;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m:oMath>
        <m:r>
          <m:t>0.75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standard consumer-grade ARM64 CPUs (</w:t>
      </w:r>
      <m:oMath>
        <m:r>
          <m:t>4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for vectorized array classification),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Rigorous Spatial Autocorrelation Control:</w:t>
      </w:r>
      <w:r>
        <w:t xml:space="preserve"> </w:t>
      </w:r>
      <w:r>
        <w:t xml:space="preserve">We implement a</w:t>
      </w:r>
      <w:r>
        <w:t xml:space="preserve"> </w:t>
      </w:r>
      <w:r>
        <w:rPr>
          <w:b/>
          <w:bCs/>
        </w:rPr>
        <w:t xml:space="preserve">20-km dead-zone spatial exclusion buffer</w:t>
      </w:r>
      <w:r>
        <w:t xml:space="preserve"> </w:t>
      </w:r>
      <w:r>
        <w:t xml:space="preserve">(derived from the empirical semivariogram range,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18.4</m:t>
        </m:r>
        <m:r>
          <m:rPr>
            <m:nor/>
            <m:sty m:val="p"/>
          </m:rPr>
          <m:t> km</m:t>
        </m:r>
      </m:oMath>
      <w:r>
        <w:t xml:space="preserve">) and multi-year out-of-time test partitions (2024–2025), eliminating both spatial and temporal data leakage.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37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1.0</m:t>
        </m:r>
        <m:r>
          <m:rPr>
            <m:nor/>
            <m:sty m:val="p"/>
          </m:rPr>
          <m:t> second</m:t>
        </m:r>
      </m:oMath>
      <w:r>
        <w:t xml:space="preserve">, verifying algebraic invariants, conformal coverage, and spatial KD-Tree queries. All code and workflows are versioned from raw ingestion (</w:t>
      </w:r>
      <w:r>
        <w:rPr>
          <w:rStyle w:val="VerbatimChar"/>
        </w:rPr>
        <w:t xml:space="preserve">scripts/01_...</w:t>
      </w:r>
      <w:r>
        <w:t xml:space="preserve">) to publication-ready outputs (</w:t>
      </w:r>
      <w:r>
        <w:rPr>
          <w:rStyle w:val="VerbatimChar"/>
        </w:rPr>
        <w:t xml:space="preserve">scripts/15_...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prospective blind testing, our biophysical ignition layer achieves a ROC-AUC of</w:t>
      </w:r>
      <w:r>
        <w:t xml:space="preserve"> </w:t>
      </w:r>
      <m:oMath>
        <m:r>
          <m:t>0.8305</m:t>
        </m:r>
      </m:oMath>
      <w:r>
        <w:t xml:space="preserve"> </w:t>
      </w:r>
      <w:r>
        <w:t xml:space="preserve">and PR-AUC of</w:t>
      </w:r>
      <w:r>
        <w:t xml:space="preserve"> </w:t>
      </w:r>
      <m:oMath>
        <m:r>
          <m:t>0.5714</m:t>
        </m:r>
      </m:oMath>
      <w:r>
        <w:t xml:space="preserve"> </w:t>
      </w:r>
      <w:r>
        <w:t xml:space="preserve">in the Gran Chaco (dramatically outperforming the Canadian FWI at</w:t>
      </w:r>
      <w:r>
        <w:t xml:space="preserve"> </w:t>
      </w:r>
      <m:oMath>
        <m:r>
          <m:t>0.5432</m:t>
        </m:r>
      </m:oMath>
      <w:r>
        <w:t xml:space="preserve"> </w:t>
      </w:r>
      <w:r>
        <w:t xml:space="preserve">and INPE at</w:t>
      </w:r>
      <w:r>
        <w:t xml:space="preserve"> </w:t>
      </w:r>
      <m:oMath>
        <m:r>
          <m:t>0.6457</m:t>
        </m:r>
      </m:oMath>
      <w:r>
        <w:t xml:space="preserve">), while tactical propagation achieves a precision of</w:t>
      </w:r>
      <w:r>
        <w:t xml:space="preserve"> </w:t>
      </w:r>
      <m:oMath>
        <m:r>
          <m:t>90.16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with only 12 false positives across the entire holdout set.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code, trained model boosters, synthetic validation data,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 with a permanent archiving workflow on Zenodo.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2026-10-25T09:02:42Z</dcterms:created>
  <dcterms:modified xsi:type="dcterms:W3CDTF">2026-10-25T09:02:42Z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