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 Letter to the Editor-in-Chief</w:t>
      </w:r>
    </w:p>
    <w:p>
      <w:pPr>
        <w:pStyle w:val="Date"/>
      </w:pPr>
      <w:r>
        <w:t xml:space="preserve">2026-10-25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25, 2026</w:t>
      </w:r>
    </w:p>
    <w:p>
      <w:pPr>
        <w:pStyle w:val="BodyText"/>
      </w:pPr>
      <w:r>
        <w:rPr>
          <w:b/>
          <w:bCs/>
        </w:rPr>
        <w:t xml:space="preserve">To:</w:t>
      </w:r>
      <w:r>
        <w:br/>
      </w:r>
      <w:r>
        <w:t xml:space="preserve">The Editors-in-Chief</w:t>
      </w:r>
      <w:r>
        <w:br/>
      </w:r>
      <w:r>
        <w:rPr>
          <w:i/>
          <w:iCs/>
        </w:rPr>
        <w:t xml:space="preserve">Computers &amp; Geosciences</w:t>
      </w:r>
      <w:r>
        <w:br/>
      </w:r>
      <w:r>
        <w:t xml:space="preserve">Elsevier Science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Submission of original research paper titled</w:t>
      </w:r>
      <w:r>
        <w:t xml:space="preserve"> </w:t>
      </w:r>
      <w:r>
        <w:rPr>
          <w:i/>
          <w:iCs/>
        </w:rPr>
        <w:t xml:space="preserve">“Decoupling Biophysical Ignition Hazard and Tactical Wildfire Propagation in the Gran Chaco via Multiscale GeoAI (2018–2025)”</w:t>
      </w:r>
    </w:p>
    <w:p>
      <w:pPr>
        <w:pStyle w:val="BodyText"/>
      </w:pPr>
      <w:r>
        <w:t xml:space="preserve">Dear Editors-in-Chief,</w:t>
      </w:r>
    </w:p>
    <w:p>
      <w:pPr>
        <w:pStyle w:val="BodyText"/>
      </w:pPr>
      <w:r>
        <w:t xml:space="preserve">Please find enclosed our original research manuscript entitled</w:t>
      </w:r>
      <w:r>
        <w:t xml:space="preserve"> </w:t>
      </w:r>
      <w:r>
        <w:rPr>
          <w:b/>
          <w:bCs/>
        </w:rPr>
        <w:t xml:space="preserve">“Decoupling Biophysical Ignition Hazard and Tactical Wildfire Propagation in the Gran Chaco via Multiscale GeoAI (2018–2025): A Reproducible Two-Stage Computational Framework for Daily Hazard Nowcasting and International Benchmarking Against full Canadian FWI and INPE”</w:t>
      </w:r>
      <w:r>
        <w:t xml:space="preserve">, which we submit for consideration as a</w:t>
      </w:r>
      <w:r>
        <w:t xml:space="preserve"> </w:t>
      </w:r>
      <w:r>
        <w:rPr>
          <w:b/>
          <w:bCs/>
        </w:rPr>
        <w:t xml:space="preserve">Research Paper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.</w:t>
      </w:r>
    </w:p>
    <w:bookmarkStart w:id="9" w:name="motivation-and-core-scientific-novelty"/>
    <w:p>
      <w:pPr>
        <w:pStyle w:val="Heading3"/>
      </w:pPr>
      <w:r>
        <w:t xml:space="preserve">Motivation and Core Scientific Novelty</w:t>
      </w:r>
    </w:p>
    <w:p>
      <w:pPr>
        <w:pStyle w:val="FirstParagraph"/>
      </w:pPr>
      <w:r>
        <w:t xml:space="preserve">Operational wildfire forecasting in geoscience machine learning frequently suffers from two pervasive methodological pathologies: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Spatial Shortcut Learning:</w:t>
      </w:r>
      <w:r>
        <w:t xml:space="preserve"> </w:t>
      </w:r>
      <w:r>
        <w:t xml:space="preserve">When models include autoregressive spatial lags without isolating causal mechanisms, gradient-boosted ensembles learn trivial spatial persistence heuristics (</w:t>
      </w:r>
      <w:r>
        <w:rPr>
          <w:i/>
          <w:iCs/>
        </w:rPr>
        <w:t xml:space="preserve">“fire will persist where thermal anomalies already exist”</w:t>
      </w:r>
      <w:r>
        <w:t xml:space="preserve">), resulting in severe false confidence while remaining incapable of anticipating new, spontaneous, or anthropic primary ignitions.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Failure of Canonical Boreal Indices in the Subtropics:</w:t>
      </w:r>
      <w:r>
        <w:t xml:space="preserve"> </w:t>
      </w:r>
      <w:r>
        <w:t xml:space="preserve">Widely deployed operational frameworks—such as the Canadian Forest Fire Weather Index (FWI) used by EFFIS/GWIS and the CPTEC/INPE Risco de Fogo—consistently fail or invert hazard rankings in water-limited subtropical biomes (e.g., the South American Gran Chaco), where vapor pressure deficit (</w:t>
      </w:r>
      <m:oMath>
        <m:r>
          <m:t>V</m:t>
        </m:r>
        <m:r>
          <m:t>P</m:t>
        </m:r>
        <m:r>
          <m:t>D</m:t>
        </m:r>
      </m:oMath>
      <w:r>
        <w:t xml:space="preserve">) and non-linear fuel-curing dynamics govern fire risk.</w:t>
      </w:r>
    </w:p>
    <w:p>
      <w:pPr>
        <w:pStyle w:val="BodyText"/>
      </w:pPr>
      <w:r>
        <w:t xml:space="preserve">To solve these challenges, we introduce</w:t>
      </w:r>
      <w:r>
        <w:t xml:space="preserve"> </w:t>
      </w:r>
      <w:r>
        <w:rPr>
          <w:rStyle w:val="VerbatimChar"/>
        </w:rPr>
        <w:t xml:space="preserve">Incendios_PY</w:t>
      </w:r>
      <w:r>
        <w:t xml:space="preserve">, an open-source, decoupled computational GeoAI framework operating across</w:t>
      </w:r>
      <w:r>
        <w:t xml:space="preserve"> </w:t>
      </w:r>
      <m:oMath>
        <m:r>
          <m:t>400</m:t>
        </m:r>
        <m:r>
          <m:rPr>
            <m:sty m:val="p"/>
          </m:rPr>
          <m:t>,</m:t>
        </m:r>
        <m:r>
          <m:t>006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sovereign</w:t>
      </w:r>
      <w:r>
        <w:rPr>
          <w:b/>
          <w:bCs/>
        </w:rPr>
        <w:t xml:space="preserve"> </w:t>
      </w:r>
      <m:oMath>
        <m:r>
          <m:t>1</m:t>
        </m:r>
        <m:sSup>
          <m:e>
            <m:r>
              <m:rPr>
                <m:nor/>
                <m:sty m:val="p"/>
              </m:rPr>
              <m:t>-km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grid cells</w:t>
      </w:r>
      <w:r>
        <w:t xml:space="preserve"> </w:t>
      </w:r>
      <w:r>
        <w:t xml:space="preserve">over an 8-year homogeneous multi-annual observation baseline (2018–2025). This horizon is strictly anchored to the dual-sensor VIIRS 375m constellation (Suomi-NPP and NOAA-20 in continuous orbital tandem), systematically eliminating observational effort bias and ensuring uniform temporal sampling across all modeling phases. We analytically decouple the operational task into two distinct models: (i)</w:t>
      </w:r>
      <w:r>
        <w:t xml:space="preserve"> </w:t>
      </w:r>
      <w:r>
        <w:rPr>
          <w:b/>
          <w:bCs/>
        </w:rPr>
        <w:t xml:space="preserve">Multiscale Socio-Ecological Hybrid Ignition</w:t>
      </w:r>
      <w:r>
        <w:t xml:space="preserve"> </w:t>
      </w:r>
      <w:r>
        <w:t xml:space="preserve">(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3</m:t>
            </m:r>
          </m:sub>
        </m:sSub>
      </m:oMath>
      <w:r>
        <w:t xml:space="preserve">), guided by physics-based monotonic constraints, ecotone edge gradients, and static anthropogenic priors at 10-km and 25-km scales; and (ii)</w:t>
      </w:r>
      <w:r>
        <w:t xml:space="preserve"> </w:t>
      </w:r>
      <w:r>
        <w:rPr>
          <w:b/>
          <w:bCs/>
        </w:rPr>
        <w:t xml:space="preserve">Tactical Propagation</w:t>
      </w:r>
      <w:r>
        <w:t xml:space="preserve">, driven by a causal spatial contagion kernel at lag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9"/>
    <w:bookmarkStart w:id="10" w:name="X69688a67aa6c464cbd796cd38e62e3faf43da12"/>
    <w:p>
      <w:pPr>
        <w:pStyle w:val="Heading3"/>
      </w:pPr>
      <w:r>
        <w:t xml:space="preserve">Why this Manuscript Fits</w:t>
      </w:r>
      <w:r>
        <w:t xml:space="preserve"> </w:t>
      </w:r>
      <w:r>
        <w:rPr>
          <w:i/>
          <w:iCs/>
        </w:rPr>
        <w:t xml:space="preserve">Computers &amp; Geosciences</w:t>
      </w:r>
    </w:p>
    <w:p>
      <w:pPr>
        <w:pStyle w:val="FirstParagraph"/>
      </w:pPr>
      <w:r>
        <w:t xml:space="preserve">Our work sits precisely at the convergence of</w:t>
      </w:r>
      <w:r>
        <w:t xml:space="preserve"> </w:t>
      </w:r>
      <w:r>
        <w:rPr>
          <w:b/>
          <w:bCs/>
        </w:rPr>
        <w:t xml:space="preserve">Computer Science Applications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Earth and Planetary Sciences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High-Performance Zero-Copy Computational Pipeline:</w:t>
      </w:r>
      <w:r>
        <w:t xml:space="preserve"> </w:t>
      </w:r>
      <w:r>
        <w:t xml:space="preserve">By integrating Apache Arrow, DuckDB, and Polars, our computational engine processes the entire national territory (</w:t>
      </w:r>
      <m:oMath>
        <m:r>
          <m:t>400</m:t>
        </m:r>
        <m:r>
          <m:rPr>
            <m:sty m:val="p"/>
          </m:rPr>
          <m:t>,</m:t>
        </m:r>
        <m:r>
          <m:t>006</m:t>
        </m:r>
        <m:sSup>
          <m:e>
            <m:r>
              <m:rPr>
                <m:nor/>
                <m:sty m:val="p"/>
              </m:rPr>
              <m:t> km</m:t>
            </m:r>
          </m:e>
          <m:sup>
            <m:r>
              <m:t>2</m:t>
            </m:r>
          </m:sup>
        </m:sSup>
      </m:oMath>
      <w:r>
        <w:t xml:space="preserve">) in</w:t>
      </w:r>
      <w:r>
        <w:t xml:space="preserve"> </w:t>
      </w:r>
      <w:r>
        <w:rPr>
          <w:b/>
          <w:bCs/>
        </w:rPr>
        <w:t xml:space="preserve">~</w:t>
      </w:r>
      <m:oMath>
        <m:r>
          <m:t>1.57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seconds</w:t>
      </w:r>
      <w:r>
        <w:t xml:space="preserve"> </w:t>
      </w:r>
      <w:r>
        <w:t xml:space="preserve">on a standard ARM64 machine (~</w:t>
      </w:r>
      <m:oMath>
        <m:r>
          <m:t>2.18</m:t>
        </m:r>
        <m:r>
          <m:rPr>
            <m:nor/>
            <m:sty m:val="p"/>
          </m:rPr>
          <m:t> GB</m:t>
        </m:r>
      </m:oMath>
      <w:r>
        <w:t xml:space="preserve"> </w:t>
      </w:r>
      <w:r>
        <w:t xml:space="preserve">peak RAM), demonstrating that sovereign early-warning systems do not require prohibitive cloud infrastructure.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Physics-Guided Machine Learning (PGML):</w:t>
      </w:r>
      <w:r>
        <w:t xml:space="preserve"> </w:t>
      </w:r>
      <w:r>
        <w:t xml:space="preserve">We enforce structural monotonic constraints within LightGBM (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atmospheric dryness and wind pressure,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antecedent rainfall and distance), mathematically preventing counterintuitive artifacts.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Spatial and Temporal Control:</w:t>
      </w:r>
      <w:r>
        <w:t xml:space="preserve"> </w:t>
      </w:r>
      <w:r>
        <w:t xml:space="preserve">We implement a</w:t>
      </w:r>
      <w:r>
        <w:t xml:space="preserve"> </w:t>
      </w:r>
      <w:r>
        <w:rPr>
          <w:b/>
          <w:bCs/>
        </w:rPr>
        <w:t xml:space="preserve">20-km dead-zone buffer for negative sampling</w:t>
      </w:r>
      <w:r>
        <w:t xml:space="preserve"> </w:t>
      </w:r>
      <w:r>
        <w:t xml:space="preserve">and multi-year out-of-time test partitions (2024–2025). The test is temporal; a spatial block holdout and a reproducible semivariogram remain pending. Priors are causal (monthly cutoff, rolling 3-year window).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Engineering and Reproducibility Standards:</w:t>
      </w:r>
      <w:r>
        <w:t xml:space="preserve"> </w:t>
      </w:r>
      <w:r>
        <w:t xml:space="preserve">The framework is packaged with a complete automated test suite of</w:t>
      </w:r>
      <w:r>
        <w:t xml:space="preserve"> </w:t>
      </w:r>
      <w:r>
        <w:rPr>
          <w:b/>
          <w:bCs/>
        </w:rPr>
        <w:t xml:space="preserve">54 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) running in</w:t>
      </w:r>
      <w:r>
        <w:t xml:space="preserve"> </w:t>
      </w:r>
      <m:oMath>
        <m:r>
          <m:rPr>
            <m:sty m:val="p"/>
          </m:rPr>
          <m:t>≈</m:t>
        </m:r>
        <m:r>
          <m:t>2.0</m:t>
        </m:r>
        <m:r>
          <m:rPr>
            <m:nor/>
            <m:sty m:val="p"/>
          </m:rPr>
          <m:t> seconds</m:t>
        </m:r>
      </m:oMath>
      <w:r>
        <w:t xml:space="preserve">, verifying algebraic invariants, physical monotonicity, conformal coverage, and spatial KD-Tree queries. All code and workflows are versioned from raw ingestion (</w:t>
      </w:r>
      <w:r>
        <w:rPr>
          <w:rStyle w:val="VerbatimChar"/>
        </w:rPr>
        <w:t xml:space="preserve">scripts/00_...</w:t>
      </w:r>
      <w:r>
        <w:t xml:space="preserve">) to publication-ready outputs (</w:t>
      </w:r>
      <w:r>
        <w:rPr>
          <w:rStyle w:val="VerbatimChar"/>
        </w:rPr>
        <w:t xml:space="preserve">scripts/21_...</w:t>
      </w:r>
      <w:r>
        <w:t xml:space="preserve">) under the permissive MIT License.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Quantitative International Benchmarking:</w:t>
      </w:r>
      <w:r>
        <w:t xml:space="preserve"> </w:t>
      </w:r>
      <w:r>
        <w:t xml:space="preserve">In retrospective temporal testing over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813</m:t>
        </m:r>
        <m:r>
          <m:rPr>
            <m:sty m:val="p"/>
          </m:rPr>
          <m:t>,</m:t>
        </m:r>
        <m:r>
          <m:t>966</m:t>
        </m:r>
      </m:oMath>
      <w:r>
        <w:t xml:space="preserve"> </w:t>
      </w:r>
      <w:r>
        <w:t xml:space="preserve">D2 holdout cell-days during 2024–2025, our hybrid ignition layer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achieves a ROC-AUC of</w:t>
      </w:r>
      <w:r>
        <w:t xml:space="preserve"> </w:t>
      </w:r>
      <m:oMath>
        <m:r>
          <m:t>0.7851</m:t>
        </m:r>
      </m:oMath>
      <w:r>
        <w:t xml:space="preserve"> </w:t>
      </w:r>
      <w:r>
        <w:t xml:space="preserve">in the Gran Chaco and</w:t>
      </w:r>
      <w:r>
        <w:t xml:space="preserve"> </w:t>
      </w:r>
      <m:oMath>
        <m:r>
          <m:t>0.7485</m:t>
        </m:r>
      </m:oMath>
      <w:r>
        <w:t xml:space="preserve"> </w:t>
      </w:r>
      <w:r>
        <w:t xml:space="preserve">in the Oriental Region, versus</w:t>
      </w:r>
      <w:r>
        <w:t xml:space="preserve"> </w:t>
      </w:r>
      <m:oMath>
        <m:r>
          <m:t>0.5185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m:oMath>
        <m:r>
          <m:t>0.5569</m:t>
        </m:r>
      </m:oMath>
      <w:r>
        <w:t xml:space="preserve"> </w:t>
      </w:r>
      <w:r>
        <w:t xml:space="preserve">for the full Canadian FWI and</w:t>
      </w:r>
      <w:r>
        <w:t xml:space="preserve"> </w:t>
      </w:r>
      <m:oMath>
        <m:r>
          <m:t>0.5386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m:oMath>
        <m:r>
          <m:t>0.4994</m:t>
        </m:r>
      </m:oMath>
      <w:r>
        <w:t xml:space="preserve"> </w:t>
      </w:r>
      <w:r>
        <w:t xml:space="preserve">for the INPE. Case-control</w:t>
      </w:r>
      <w:r>
        <w:t xml:space="preserve"> </w:t>
      </w:r>
      <m:oMath>
        <m:sSub>
          <m:e>
            <m:r>
              <m:t>F</m:t>
            </m:r>
          </m:e>
          <m:sub>
            <m:r>
              <m:t>0.5</m:t>
            </m:r>
          </m:sub>
        </m:sSub>
      </m:oMath>
      <w:r>
        <w:t xml:space="preserve"> </w:t>
      </w:r>
      <w:r>
        <w:t xml:space="preserve">precision is</w:t>
      </w:r>
      <w:r>
        <w:t xml:space="preserve"> </w:t>
      </w:r>
      <m:oMath>
        <m:r>
          <m:t>27.54</m:t>
        </m:r>
        <m:r>
          <m:rPr>
            <m:nor/>
            <m:sty m:val="p"/>
          </m:rPr>
          <m:t> %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29.67</m:t>
        </m:r>
        <m:r>
          <m:rPr>
            <m:nor/>
            <m:sty m:val="p"/>
          </m:rPr>
          <m:t> %</m:t>
        </m:r>
      </m:oMath>
      <w:r>
        <w:t xml:space="preserve">; after correction to population prevalence (~0.015 % / 0.041 %), operational precision is</w:t>
      </w:r>
      <w:r>
        <w:t xml:space="preserve"> </w:t>
      </w:r>
      <m:oMath>
        <m:r>
          <m:t>0.062</m:t>
        </m:r>
        <m:r>
          <m:rPr>
            <m:nor/>
            <m:sty m:val="p"/>
          </m:rPr>
          <m:t> %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0.206</m:t>
        </m:r>
        <m:r>
          <m:rPr>
            <m:nor/>
            <m:sty m:val="p"/>
          </m:rPr>
          <m:t> %</m:t>
        </m:r>
      </m:oMath>
      <w:r>
        <w:t xml:space="preserve">. Tactical propagation achieves ROC-AUC</w:t>
      </w:r>
      <w:r>
        <w:t xml:space="preserve"> </w:t>
      </w:r>
      <m:oMath>
        <m:r>
          <m:t>0.8988</m:t>
        </m:r>
      </m:oMath>
      <w:r>
        <w:t xml:space="preserve"> </w:t>
      </w:r>
      <w:r>
        <w:t xml:space="preserve">(Chaco) and population precision</w:t>
      </w:r>
      <w:r>
        <w:t xml:space="preserve"> </w:t>
      </w:r>
      <m:oMath>
        <m:r>
          <m:t>9.853</m:t>
        </m:r>
        <m:r>
          <m:rPr>
            <m:nor/>
            <m:sty m:val="p"/>
          </m:rPr>
          <m:t> %</m:t>
        </m:r>
      </m:oMath>
      <w:r>
        <w:t xml:space="preserve">. These corrected metrics are the honest operational benchmark.</w:t>
      </w:r>
    </w:p>
    <w:bookmarkEnd w:id="10"/>
    <w:bookmarkStart w:id="13" w:name="mandatory-declarations"/>
    <w:p>
      <w:pPr>
        <w:pStyle w:val="Heading3"/>
      </w:pPr>
      <w:r>
        <w:t xml:space="preserve">Mandatory Declarations</w:t>
      </w:r>
    </w:p>
    <w:p>
      <w:pPr>
        <w:pStyle w:val="Compact"/>
        <w:numPr>
          <w:ilvl w:val="0"/>
          <w:numId w:val="1002"/>
        </w:numPr>
      </w:pPr>
      <w:r>
        <w:t xml:space="preserve">This manuscript has not been published previously, is not under consideration for publication elsewhere, and its publication has been approved by the author.</w:t>
      </w:r>
    </w:p>
    <w:p>
      <w:pPr>
        <w:pStyle w:val="Compact"/>
        <w:numPr>
          <w:ilvl w:val="0"/>
          <w:numId w:val="1002"/>
        </w:numPr>
      </w:pPr>
      <w:r>
        <w:t xml:space="preserve">All source code and reproduction scripts are openly hosted on GitHub (</w:t>
      </w:r>
      <w:r>
        <w:rPr>
          <w:rStyle w:val="VerbatimChar"/>
        </w:rPr>
        <w:t xml:space="preserve">https://github.com/sanchezmartin093-code/Incendios_PY</w:t>
      </w:r>
      <w:r>
        <w:t xml:space="preserve">). Processed data and trained models are documented with SHA-256 hashes in</w:t>
      </w:r>
      <w:r>
        <w:t xml:space="preserve"> </w:t>
      </w:r>
      <w:r>
        <w:rPr>
          <w:rStyle w:val="VerbatimChar"/>
        </w:rPr>
        <w:t xml:space="preserve">fuentes/MANIFIESTO_DATOS_v2.csv</w:t>
      </w:r>
      <w:r>
        <w:t xml:space="preserve"> </w:t>
      </w:r>
      <w:r>
        <w:t xml:space="preserve">and archived on Zenodo/OSF.</w:t>
      </w:r>
    </w:p>
    <w:p>
      <w:pPr>
        <w:pStyle w:val="Compact"/>
        <w:numPr>
          <w:ilvl w:val="0"/>
          <w:numId w:val="1002"/>
        </w:numPr>
      </w:pPr>
      <w:r>
        <w:t xml:space="preserve">We declare no competing financial or non-financial conflicts of interest.</w:t>
      </w:r>
    </w:p>
    <w:p>
      <w:pPr>
        <w:pStyle w:val="FirstParagraph"/>
      </w:pPr>
      <w:r>
        <w:t xml:space="preserve">Thank you very much for your time, consideration, and editorial guidance.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Martín Sánchez Insfrán, MD</w:t>
      </w:r>
      <w:r>
        <w:br/>
      </w:r>
      <w:r>
        <w:t xml:space="preserve">Independent Researcher / Surgeon</w:t>
      </w:r>
      <w:r>
        <w:br/>
      </w:r>
      <w:r>
        <w:t xml:space="preserve">Asunción, Republic of Paraguay</w:t>
      </w:r>
      <w:r>
        <w:br/>
      </w:r>
      <w:r>
        <w:t xml:space="preserve">ORCID:</w:t>
      </w:r>
      <w:r>
        <w:t xml:space="preserve"> </w:t>
      </w:r>
      <w:hyperlink r:id="rId11">
        <w:r>
          <w:rPr>
            <w:rStyle w:val="Hyperlink"/>
          </w:rPr>
          <w:t xml:space="preserve">0000-0003-4138-9668</w:t>
        </w:r>
      </w:hyperlink>
      <w:r>
        <w:br/>
      </w:r>
      <w:r>
        <w:t xml:space="preserve">Email:</w:t>
      </w:r>
      <w:r>
        <w:t xml:space="preserve"> </w:t>
      </w:r>
      <w:r>
        <w:rPr>
          <w:rStyle w:val="VerbatimChar"/>
        </w:rPr>
        <w:t xml:space="preserve">sanchez.martin093@gmail.com</w:t>
      </w:r>
      <w:r>
        <w:br/>
      </w:r>
      <w:r>
        <w:t xml:space="preserve">Code Repository:</w:t>
      </w:r>
      <w:r>
        <w:t xml:space="preserve"> </w:t>
      </w:r>
      <w:hyperlink r:id="rId12">
        <w:r>
          <w:rPr>
            <w:rStyle w:val="Hyperlink"/>
          </w:rPr>
          <w:t xml:space="preserve">https://github.com/sanchezmartin093-code/Incendios_PY</w:t>
        </w:r>
      </w:hyperlink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sanchezmartin093-code/Incendios_PY" TargetMode="External" /><Relationship Type="http://schemas.openxmlformats.org/officeDocument/2006/relationships/hyperlink" Id="rId11" Target="https://orcid.org/0000-0003-4138-966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sanchezmartin093-code/Incendios_PY" TargetMode="External" /><Relationship Type="http://schemas.openxmlformats.org/officeDocument/2006/relationships/hyperlink" Id="rId11" Target="https://orcid.org/0000-0003-4138-96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to the Editor-in-Chief</dc:title>
  <dc:creator/>
  <cp:keywords/>
  <dcterms:created xsi:type="dcterms:W3CDTF">2026-10-26T18:29:02Z</dcterms:created>
  <dcterms:modified xsi:type="dcterms:W3CDTF">2026-10-26T18:29:02Z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