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74.png" ContentType="image/png"/>
  <Override PartName="/word/media/rId69.png" ContentType="image/png"/>
  <Override PartName="/word/media/rId57.png" ContentType="image/png"/>
  <Override PartName="/word/media/rId100.png" ContentType="image/png"/>
  <Override PartName="/word/media/rId6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completo y INPE Risco de Fogo</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21,7 % de las celdas-día y retiene el 97,17 % de las detecciones térmicas. Para evitar fugas de etiqueta, los priors de susceptibilidad histórica usan un corte mensual y una ventana móvil de 3 años. El modelo de ignición híbrida</w:t>
      </w:r>
      <w:r>
        <w:t xml:space="preserve"> </w:t>
      </w:r>
      <m:oMath>
        <m:sSub>
          <m:e>
            <m:r>
              <m:rPr>
                <m:scr m:val="script"/>
                <m:sty m:val="p"/>
              </m:rPr>
              <m:t>M</m:t>
            </m:r>
          </m:e>
          <m:sub>
            <m:r>
              <m:t>3</m:t>
            </m:r>
          </m:sub>
        </m:sSub>
      </m:oMath>
      <w:r>
        <w:t xml:space="preserve"> </w:t>
      </w:r>
      <w:r>
        <w:t xml:space="preserve">combina clima ERA5-Land, MapBiomas real (</w:t>
      </w:r>
      <w:r>
        <w:rPr>
          <w:rStyle w:val="VerbatimChar"/>
        </w:rPr>
        <w:t xml:space="preserve">collection2_2023</w:t>
      </w:r>
      <w:r>
        <w:t xml:space="preserv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sigue una definición D2: ignición primaria sin fuego t-1 en 25 km ni fuego en la celda en los últimos 10 días, y propagación dentro de 25 km de un fuego t-1. El test D2 incluye</w:t>
      </w:r>
      <w:r>
        <w:t xml:space="preserve"> </w:t>
      </w:r>
      <m:oMath>
        <m:r>
          <m:t>N</m:t>
        </m:r>
        <m:r>
          <m:rPr>
            <m:sty m:val="p"/>
          </m:rPr>
          <m:t>=</m:t>
        </m:r>
        <m:r>
          <m:t>1.813</m:t>
        </m:r>
        <m:r>
          <m:t>.966</m:t>
        </m:r>
      </m:oMath>
      <w:r>
        <w:t xml:space="preserve"> </w:t>
      </w:r>
      <w:r>
        <w:t xml:space="preserve">celdas-día (376.552 ignición y 1.437.414 propagación) en 2024–2025. En test,</w:t>
      </w:r>
      <w:r>
        <w:t xml:space="preserve"> </w:t>
      </w:r>
      <m:oMath>
        <m:sSub>
          <m:e>
            <m:r>
              <m:rPr>
                <m:scr m:val="script"/>
                <m:sty m:val="p"/>
              </m:rPr>
              <m:t>M</m:t>
            </m:r>
          </m:e>
          <m:sub>
            <m:r>
              <m:t>3</m:t>
            </m:r>
          </m:sub>
        </m:sSub>
      </m:oMath>
      <w:r>
        <w:t xml:space="preserve"> </w:t>
      </w:r>
      <w:r>
        <w:t xml:space="preserve">obtiene ROC-AUC 0,7851 (Chaco) y 0,7485 (Oriental), frente a 0,5185/0,5569 del FWI completo y 0,5386/0,4994 del INPE Risco de Fogo; la propagación alcanza 0,8988/0,7798. La precisión case-control en el corte</w:t>
      </w:r>
      <w:r>
        <w:t xml:space="preserve"> </w:t>
      </w:r>
      <m:oMath>
        <m:sSub>
          <m:e>
            <m:r>
              <m:t>F</m:t>
            </m:r>
          </m:e>
          <m:sub>
            <m:r>
              <m:t>0.5</m:t>
            </m:r>
          </m:sub>
        </m:sSub>
      </m:oMath>
      <w:r>
        <w:t xml:space="preserve"> </w:t>
      </w:r>
      <w:r>
        <w:t xml:space="preserve">es 27,54 %/29,67 % para ignición y 84,47 %/60,78 % para propagación; al corregir por prevalencia poblacional (~0,015 %/0,041 %), la precisión operativa cae a 0,062 %/0,206 % y 9,853 %/4,183 %, respectivamente. En un holdout espacial por bloques de 50 km, M3 cae a ROC-AUC 0,6246/0,5721, mientras que M1 obtiene 0,6346/0,6195: la ventaja híbrida es temporal y específica de celdas con historia de fuego; para celdas nuevas debe preferirse M1. Con clima de t-1, M3 conserva ROC-AUC 0,7834/0,7462. En cost-loss, M3 no supera claramente a M2 en ignición; la capa de propagación sí muestra valor operativo para</w:t>
      </w:r>
      <w:r>
        <w:t xml:space="preserve"> </w:t>
      </w:r>
      <m:oMath>
        <m:r>
          <m:t>α</m:t>
        </m:r>
        <m:r>
          <m:rPr>
            <m:sty m:val="p"/>
          </m:rPr>
          <m:t>≈</m:t>
        </m:r>
        <m:r>
          <m:t>0</m:t>
        </m:r>
        <m:r>
          <m:rPr>
            <m:sty m:val="p"/>
          </m:rPr>
          <m:t>,</m:t>
        </m:r>
        <m:r>
          <m:t>002</m:t>
        </m:r>
      </m:oMath>
      <w:r>
        <w:t xml:space="preserve">. El pipeline se midió en ~1,569 s y ~2,18 GB de RAM pico en ARM64. Es un nowcast/hindcast: las features climáticas son del mismo día. La cobertura conformal empírica fue 89,85 %/90,19 % para nominal 90 % y 95,02 %/94,56 % para 95 %,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21.7 % of cell-days while retaining 97.17 % of thermal detections. Historical-susceptibility priors use a monthly cutoff and a rolling 3-year window. The hybrid ignition model</w:t>
      </w:r>
      <w:r>
        <w:t xml:space="preserve"> </w:t>
      </w:r>
      <m:oMath>
        <m:sSub>
          <m:e>
            <m:r>
              <m:rPr>
                <m:scr m:val="script"/>
                <m:sty m:val="p"/>
              </m:rPr>
              <m:t>M</m:t>
            </m:r>
          </m:e>
          <m:sub>
            <m:r>
              <m:t>3</m:t>
            </m:r>
          </m:sub>
        </m:sSub>
      </m:oMath>
      <w:r>
        <w:t xml:space="preserve"> </w:t>
      </w:r>
      <w:r>
        <w:t xml:space="preserve">combines ERA5-Land weather, real MapBiomas (</w:t>
      </w:r>
      <w:r>
        <w:rPr>
          <w:rStyle w:val="VerbatimChar"/>
        </w:rPr>
        <w:t xml:space="preserve">collection2_2023</w:t>
      </w:r>
      <w:r>
        <w:t xml:space="preserve">), ecotone, anthropogenic corridors and causal priors; tactical propagation uses a causal</w:t>
      </w:r>
      <w:r>
        <w:t xml:space="preserve"> </w:t>
      </w:r>
      <m:oMath>
        <m:r>
          <m:t>t</m:t>
        </m:r>
        <m:r>
          <m:rPr>
            <m:sty m:val="p"/>
          </m:rPr>
          <m:t>−</m:t>
        </m:r>
        <m:r>
          <m:t>1</m:t>
        </m:r>
      </m:oMath>
      <w:r>
        <w:t xml:space="preserve"> </w:t>
      </w:r>
      <w:r>
        <w:t xml:space="preserve">kernel with VIIRS FRP. Evaluation follows a D2 definition: primary ignition with no t-1 fire within 25 km and no same-cell fire in the previous 10 days, and propagation within 25 km of a t-1 fire. The D2 test contains</w:t>
      </w:r>
      <w:r>
        <w:t xml:space="preserve"> </w:t>
      </w:r>
      <m:oMath>
        <m:r>
          <m:t>N</m:t>
        </m:r>
        <m:r>
          <m:rPr>
            <m:sty m:val="p"/>
          </m:rPr>
          <m:t>=</m:t>
        </m:r>
        <m:r>
          <m:t>1</m:t>
        </m:r>
        <m:r>
          <m:rPr>
            <m:sty m:val="p"/>
          </m:rPr>
          <m:t>,</m:t>
        </m:r>
        <m:r>
          <m:t>813</m:t>
        </m:r>
        <m:r>
          <m:rPr>
            <m:sty m:val="p"/>
          </m:rPr>
          <m:t>,</m:t>
        </m:r>
        <m:r>
          <m:t>966</m:t>
        </m:r>
      </m:oMath>
      <w:r>
        <w:t xml:space="preserve"> </w:t>
      </w:r>
      <w:r>
        <w:t xml:space="preserve">cell-days (376,552 ignition and 1,437,414 propagation) for 2024–2025. On test,</w:t>
      </w:r>
      <w:r>
        <w:t xml:space="preserve"> </w:t>
      </w:r>
      <m:oMath>
        <m:sSub>
          <m:e>
            <m:r>
              <m:rPr>
                <m:scr m:val="script"/>
                <m:sty m:val="p"/>
              </m:rPr>
              <m:t>M</m:t>
            </m:r>
          </m:e>
          <m:sub>
            <m:r>
              <m:t>3</m:t>
            </m:r>
          </m:sub>
        </m:sSub>
      </m:oMath>
      <w:r>
        <w:t xml:space="preserve"> </w:t>
      </w:r>
      <w:r>
        <w:t xml:space="preserve">achieves ROC-AUC 0.7851 (Chaco) and 0.7485 (Oriental), versus 0.5185/0.5569 for full FWI and 0.5386/0.4994 for INPE; propagation reaches 0.8988/0.7798. Case-control</w:t>
      </w:r>
      <w:r>
        <w:t xml:space="preserve"> </w:t>
      </w:r>
      <m:oMath>
        <m:sSub>
          <m:e>
            <m:r>
              <m:t>F</m:t>
            </m:r>
          </m:e>
          <m:sub>
            <m:r>
              <m:t>0.5</m:t>
            </m:r>
          </m:sub>
        </m:sSub>
      </m:oMath>
      <w:r>
        <w:t xml:space="preserve"> </w:t>
      </w:r>
      <w:r>
        <w:t xml:space="preserve">precision is 27.54 %/29.67 % for ignition and 84.47 %/60.78 % for propagation; after correction to population prevalence (~0.015 %/0.041 %), operational precision drops to 0.062 %/0.206 % and 9.853 %/4.183 %, respectively. In a 50-km spatial block holdout, M3 drops to ROC-AUC 0.6246/0.5721, whereas M1 reaches 0.6346/0.6195: the hybrid advantage is temporal and specific to cells with fire history; for new cells M1 should be preferred. With t-1 weather, M3 retains ROC-AUC 0.7834/0.7462. In cost-loss terms, M3 does not clearly outperform M2 for ignition; propagation shows operational value near</w:t>
      </w:r>
      <w:r>
        <w:t xml:space="preserve"> </w:t>
      </w:r>
      <m:oMath>
        <m:r>
          <m:t>α</m:t>
        </m:r>
        <m:r>
          <m:rPr>
            <m:sty m:val="p"/>
          </m:rPr>
          <m:t>≈</m:t>
        </m:r>
        <m:r>
          <m:t>0.002</m:t>
        </m:r>
      </m:oMath>
      <w:r>
        <w:t xml:space="preserve">. The pipeline measured ~1.569 s and ~2.18 GB peak RAM on ARM64. It is a nowcast/hindcast: weather features are same-day. Empirical conformal coverage was 89.85 %/90.19 % for nominal 90 % and 95.02 %/94.56 % for 95 %,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21,7 % (hasta 92 % en días húmedos) reteniendo el 97,17 %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1.813</m:t>
        </m:r>
        <m:r>
          <m:t>.966</m:t>
        </m:r>
      </m:oMath>
      <w:r>
        <w:t xml:space="preserve"> </w:t>
      </w:r>
      <w:r>
        <w:t xml:space="preserve">celdas evaluadas)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~1,4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3"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bookmarkEnd w:id="40"/>
    <w:bookmarkStart w:id="42" w:name="contribución-computacional"/>
    <w:p>
      <w:pPr>
        <w:pStyle w:val="Heading2"/>
      </w:pPr>
      <w:r>
        <w:t xml:space="preserve">3.5 3.5 Contribución computacional</w:t>
      </w:r>
    </w:p>
    <w:p>
      <w:pPr>
        <w:pStyle w:val="FirstParagraph"/>
      </w:pPr>
      <w:r>
        <w:t xml:space="preserve">La contribución computacional del sistema no depende de un nuevo algoritmo de boosting, sino de la combinación de: (i) una grilla nacional con</w:t>
      </w:r>
      <w:r>
        <w:t xml:space="preserve"> </w:t>
      </w:r>
      <w:r>
        <w:rPr>
          <w:rStyle w:val="VerbatimChar"/>
        </w:rPr>
        <w:t xml:space="preserve">cell_id</w:t>
      </w:r>
      <w:r>
        <w:t xml:space="preserve"> </w:t>
      </w:r>
      <w:r>
        <w:t xml:space="preserve">entero y lookup (O(1)); (ii) un pipeline columnar DuckDB/Polars con gating temprano; (iii) una definición D2 de targets que evita mezclar persistencia e ignición; (iv) calibración Platt y conformal; y (v) inferencia nacional ligera.</w:t>
      </w:r>
    </w:p>
    <w:p>
      <w:pPr>
        <w:pStyle w:val="BodyText"/>
      </w:pPr>
      <w:r>
        <w:t xml:space="preserve">El lookup</w:t>
      </w:r>
      <w:r>
        <w:t xml:space="preserve"> </w:t>
      </w:r>
      <w:r>
        <w:rPr>
          <w:rStyle w:val="VerbatimChar"/>
        </w:rPr>
        <w:t xml:space="preserve">cell_id</w:t>
      </w:r>
      <w:r>
        <w:t xml:space="preserve"> </w:t>
      </w:r>
      <w:r>
        <w:t xml:space="preserve">procesa 400.006 celdas en (7{,}3</w:t>
      </w:r>
      <w:r>
        <w:t xml:space="preserve">^{-4}) s (mediana de 100 repeticiones). Un</w:t>
      </w:r>
      <w:r>
        <w:t xml:space="preserve"> </w:t>
      </w:r>
      <w:r>
        <w:rPr>
          <w:rStyle w:val="VerbatimChar"/>
        </w:rPr>
        <w:t xml:space="preserve">sjoin</w:t>
      </w:r>
      <w:r>
        <w:t xml:space="preserve"> </w:t>
      </w:r>
      <w:r>
        <w:t xml:space="preserve">de GeoPandas sobre 50.000 puntos tarda 0,026 s; la comparación no es lineal, pero ilustra por qué el lookup entero evita Point-in-Polygon en tiempo de ejecución.</w:t>
      </w:r>
    </w:p>
    <w:tbl>
      <w:tblPr>
        <w:tblStyle w:val="Table"/>
        <w:tblW w:type="pct" w:w="5000"/>
        <w:tblLayout w:type="fixed"/>
        <w:tblLook w:firstRow="0" w:lastRow="0" w:firstColumn="0" w:lastColumn="0" w:noHBand="0" w:noVBand="0" w:val="0000"/>
      </w:tblPr>
      <w:tblGrid>
        <w:gridCol w:w="7920"/>
      </w:tblGrid>
      <w:tr>
        <w:tc>
          <w:tcPr/>
          <w:bookmarkStart w:id="41" w:name="tbl-computo"/>
          <w:p>
            <w:pPr>
              <w:jc w:val="center"/>
            </w:pPr>
            <w:pPr>
              <w:jc w:val="left"/>
              <w:spacing w:before="200"/>
              <w:pStyle w:val="ImageCaption"/>
            </w:pPr>
            <w:r>
              <w:t xml:space="preserve">Tabla 2: Benchmark computacional en macOS ARM64. El pipeline completo se midió sobre 400.006 celdas para 2024-09-09; x86_64 no fue medido.</w:t>
            </w:r>
          </w:p>
          <w:tbl>
            <w:tblPr>
              <w:tblStyle w:val="Table"/>
              <w:tblW w:type="pct" w:w="5000"/>
              <w:tblLayout w:type="fixed"/>
              <w:tblLook w:firstRow="1" w:lastRow="0" w:firstColumn="0" w:lastColumn="0" w:noHBand="0" w:noVBand="0" w:val="0020"/>
            </w:tblPr>
            <w:tblGrid>
              <w:gridCol w:w="1926"/>
              <w:gridCol w:w="1212"/>
              <w:gridCol w:w="570"/>
              <w:gridCol w:w="856"/>
              <w:gridCol w:w="713"/>
              <w:gridCol w:w="2640"/>
            </w:tblGrid>
            <w:tr>
              <w:trPr>
                <w:tblHeader w:val="on"/>
              </w:trPr>
              <w:tc>
                <w:tcPr/>
                <w:p>
                  <w:pPr>
                    <w:pStyle w:val="Compact"/>
                    <w:jc w:val="left"/>
                    <w:jc w:val="center"/>
                  </w:pPr>
                  <w:r>
                    <w:t xml:space="preserve">etapa</w:t>
                  </w:r>
                </w:p>
              </w:tc>
              <w:tc>
                <w:tcPr/>
                <w:p>
                  <w:pPr>
                    <w:pStyle w:val="Compact"/>
                    <w:jc w:val="left"/>
                    <w:jc w:val="center"/>
                  </w:pPr>
                  <w:r>
                    <w:t xml:space="preserve">metodo</w:t>
                  </w:r>
                </w:p>
              </w:tc>
              <w:tc>
                <w:tcPr/>
                <w:p>
                  <w:pPr>
                    <w:pStyle w:val="Compact"/>
                    <w:jc w:val="right"/>
                    <w:jc w:val="center"/>
                  </w:pPr>
                  <w:r>
                    <w:t xml:space="preserve">n</w:t>
                  </w:r>
                </w:p>
              </w:tc>
              <w:tc>
                <w:tcPr/>
                <w:p>
                  <w:pPr>
                    <w:pStyle w:val="Compact"/>
                    <w:jc w:val="right"/>
                    <w:jc w:val="center"/>
                  </w:pPr>
                  <w:r>
                    <w:t xml:space="preserve">tiempo_s</w:t>
                  </w:r>
                </w:p>
              </w:tc>
              <w:tc>
                <w:tcPr/>
                <w:p>
                  <w:pPr>
                    <w:pStyle w:val="Compact"/>
                    <w:jc w:val="right"/>
                    <w:jc w:val="center"/>
                  </w:pPr>
                  <w:r>
                    <w:t xml:space="preserve">ram_mb</w:t>
                  </w:r>
                </w:p>
              </w:tc>
              <w:tc>
                <w:tcPr/>
                <w:p>
                  <w:pPr>
                    <w:pStyle w:val="Compact"/>
                    <w:jc w:val="left"/>
                    <w:jc w:val="center"/>
                  </w:pPr>
                  <w:r>
                    <w:t xml:space="preserve">nota</w:t>
                  </w:r>
                </w:p>
              </w:tc>
            </w:tr>
            <w:tr>
              <w:tc>
                <w:tcPr/>
                <w:p>
                  <w:pPr>
                    <w:pStyle w:val="Compact"/>
                    <w:jc w:val="left"/>
                    <w:jc w:val="center"/>
                  </w:pPr>
                  <w:r>
                    <w:t xml:space="preserve">Lookup cell_id O(1)</w:t>
                  </w:r>
                </w:p>
              </w:tc>
              <w:tc>
                <w:tcPr/>
                <w:p>
                  <w:pPr>
                    <w:pStyle w:val="Compact"/>
                    <w:jc w:val="left"/>
                    <w:jc w:val="center"/>
                  </w:pPr>
                  <w:r>
                    <w:t xml:space="preserve">NumPy int64</w:t>
                  </w:r>
                </w:p>
              </w:tc>
              <w:tc>
                <w:tcPr/>
                <w:p>
                  <w:pPr>
                    <w:pStyle w:val="Compact"/>
                    <w:jc w:val="right"/>
                    <w:jc w:val="center"/>
                  </w:pPr>
                  <w:r>
                    <w:t xml:space="preserve">400006</w:t>
                  </w:r>
                </w:p>
              </w:tc>
              <w:tc>
                <w:tcPr/>
                <w:p>
                  <w:pPr>
                    <w:pStyle w:val="Compact"/>
                    <w:jc w:val="right"/>
                    <w:jc w:val="center"/>
                  </w:pPr>
                  <w:r>
                    <w:t xml:space="preserve">0.00073</w:t>
                  </w:r>
                </w:p>
              </w:tc>
              <w:tc>
                <w:tcPr/>
                <w:p>
                  <w:pPr>
                    <w:pStyle w:val="Compact"/>
                    <w:jc w:val="right"/>
                    <w:jc w:val="center"/>
                  </w:pPr>
                  <w:r>
                    <w:t xml:space="preserve">nan</w:t>
                  </w:r>
                </w:p>
              </w:tc>
              <w:tc>
                <w:tcPr/>
                <w:p>
                  <w:pPr>
                    <w:pStyle w:val="Compact"/>
                    <w:jc w:val="left"/>
                    <w:jc w:val="center"/>
                  </w:pPr>
                  <w:r>
                    <w:t xml:space="preserve">mediana 100 repeticiones</w:t>
                  </w:r>
                </w:p>
              </w:tc>
            </w:tr>
            <w:tr>
              <w:tc>
                <w:tcPr/>
                <w:p>
                  <w:pPr>
                    <w:pStyle w:val="Compact"/>
                    <w:jc w:val="left"/>
                    <w:jc w:val="center"/>
                  </w:pPr>
                  <w:r>
                    <w:t xml:space="preserve">Point-in-Polygon</w:t>
                  </w:r>
                </w:p>
              </w:tc>
              <w:tc>
                <w:tcPr/>
                <w:p>
                  <w:pPr>
                    <w:pStyle w:val="Compact"/>
                    <w:jc w:val="left"/>
                    <w:jc w:val="center"/>
                  </w:pPr>
                  <w:r>
                    <w:t xml:space="preserve">GeoPandas sjoin</w:t>
                  </w:r>
                </w:p>
              </w:tc>
              <w:tc>
                <w:tcPr/>
                <w:p>
                  <w:pPr>
                    <w:pStyle w:val="Compact"/>
                    <w:jc w:val="right"/>
                    <w:jc w:val="center"/>
                  </w:pPr>
                  <w:r>
                    <w:t xml:space="preserve">50000</w:t>
                  </w:r>
                </w:p>
              </w:tc>
              <w:tc>
                <w:tcPr/>
                <w:p>
                  <w:pPr>
                    <w:pStyle w:val="Compact"/>
                    <w:jc w:val="right"/>
                    <w:jc w:val="center"/>
                  </w:pPr>
                  <w:r>
                    <w:t xml:space="preserve">0.0261</w:t>
                  </w:r>
                </w:p>
              </w:tc>
              <w:tc>
                <w:tcPr/>
                <w:p>
                  <w:pPr>
                    <w:pStyle w:val="Compact"/>
                    <w:jc w:val="right"/>
                    <w:jc w:val="center"/>
                  </w:pPr>
                  <w:r>
                    <w:t xml:space="preserve">nan</w:t>
                  </w:r>
                </w:p>
              </w:tc>
              <w:tc>
                <w:tcPr/>
                <w:p>
                  <w:pPr>
                    <w:pStyle w:val="Compact"/>
                    <w:jc w:val="left"/>
                    <w:jc w:val="center"/>
                  </w:pPr>
                  <w:r>
                    <w:t xml:space="preserve">50k puntos; extrapolación no lineal</w:t>
                  </w:r>
                </w:p>
              </w:tc>
            </w:tr>
            <w:tr>
              <w:tc>
                <w:tcPr/>
                <w:p>
                  <w:pPr>
                    <w:pStyle w:val="Compact"/>
                    <w:jc w:val="left"/>
                    <w:jc w:val="center"/>
                  </w:pPr>
                  <w:r>
                    <w:t xml:space="preserve">Ingesta + priors + gating</w:t>
                  </w:r>
                </w:p>
              </w:tc>
              <w:tc>
                <w:tcPr/>
                <w:p>
                  <w:pPr>
                    <w:pStyle w:val="Compact"/>
                    <w:jc w:val="left"/>
                    <w:jc w:val="center"/>
                  </w:pPr>
                  <w:r>
                    <w:t xml:space="preserve">Polars/cKDTree</w:t>
                  </w:r>
                </w:p>
              </w:tc>
              <w:tc>
                <w:tcPr/>
                <w:p>
                  <w:pPr>
                    <w:pStyle w:val="Compact"/>
                    <w:jc w:val="right"/>
                    <w:jc w:val="center"/>
                  </w:pPr>
                  <w:r>
                    <w:t xml:space="preserve">400006</w:t>
                  </w:r>
                </w:p>
              </w:tc>
              <w:tc>
                <w:tcPr/>
                <w:p>
                  <w:pPr>
                    <w:pStyle w:val="Compact"/>
                    <w:jc w:val="right"/>
                    <w:jc w:val="center"/>
                  </w:pPr>
                  <w:r>
                    <w:t xml:space="preserve">1.268</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Inferencia dual</w:t>
                  </w:r>
                </w:p>
              </w:tc>
              <w:tc>
                <w:tcPr/>
                <w:p>
                  <w:pPr>
                    <w:pStyle w:val="Compact"/>
                    <w:jc w:val="left"/>
                    <w:jc w:val="center"/>
                  </w:pPr>
                  <w:r>
                    <w:t xml:space="preserve">LightGBM</w:t>
                  </w:r>
                </w:p>
              </w:tc>
              <w:tc>
                <w:tcPr/>
                <w:p>
                  <w:pPr>
                    <w:pStyle w:val="Compact"/>
                    <w:jc w:val="right"/>
                    <w:jc w:val="center"/>
                  </w:pPr>
                  <w:r>
                    <w:t xml:space="preserve">400006</w:t>
                  </w:r>
                </w:p>
              </w:tc>
              <w:tc>
                <w:tcPr/>
                <w:p>
                  <w:pPr>
                    <w:pStyle w:val="Compact"/>
                    <w:jc w:val="right"/>
                    <w:jc w:val="center"/>
                  </w:pPr>
                  <w:r>
                    <w:t xml:space="preserve">0.285</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Agregación/boletín</w:t>
                  </w:r>
                </w:p>
              </w:tc>
              <w:tc>
                <w:tcPr/>
                <w:p>
                  <w:pPr>
                    <w:pStyle w:val="Compact"/>
                    <w:jc w:val="left"/>
                    <w:jc w:val="center"/>
                  </w:pPr>
                  <w:r>
                    <w:t xml:space="preserve">Polars</w:t>
                  </w:r>
                </w:p>
              </w:tc>
              <w:tc>
                <w:tcPr/>
                <w:p>
                  <w:pPr>
                    <w:pStyle w:val="Compact"/>
                    <w:jc w:val="right"/>
                    <w:jc w:val="center"/>
                  </w:pPr>
                  <w:r>
                    <w:t xml:space="preserve">400006</w:t>
                  </w:r>
                </w:p>
              </w:tc>
              <w:tc>
                <w:tcPr/>
                <w:p>
                  <w:pPr>
                    <w:pStyle w:val="Compact"/>
                    <w:jc w:val="right"/>
                    <w:jc w:val="center"/>
                  </w:pPr>
                  <w:r>
                    <w:t xml:space="preserve">0.016</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Total pipeline</w:t>
                  </w:r>
                </w:p>
              </w:tc>
              <w:tc>
                <w:tcPr/>
                <w:p>
                  <w:pPr>
                    <w:pStyle w:val="Compact"/>
                    <w:jc w:val="left"/>
                    <w:jc w:val="center"/>
                  </w:pPr>
                  <w:r>
                    <w:t xml:space="preserve">Consolidado</w:t>
                  </w:r>
                </w:p>
              </w:tc>
              <w:tc>
                <w:tcPr/>
                <w:p>
                  <w:pPr>
                    <w:pStyle w:val="Compact"/>
                    <w:jc w:val="right"/>
                    <w:jc w:val="center"/>
                  </w:pPr>
                  <w:r>
                    <w:t xml:space="preserve">400006</w:t>
                  </w:r>
                </w:p>
              </w:tc>
              <w:tc>
                <w:tcPr/>
                <w:p>
                  <w:pPr>
                    <w:pStyle w:val="Compact"/>
                    <w:jc w:val="right"/>
                    <w:jc w:val="center"/>
                  </w:pPr>
                  <w:r>
                    <w:t xml:space="preserve">1.569</w:t>
                  </w:r>
                </w:p>
              </w:tc>
              <w:tc>
                <w:tcPr/>
                <w:p>
                  <w:pPr>
                    <w:pStyle w:val="Compact"/>
                    <w:jc w:val="right"/>
                    <w:jc w:val="center"/>
                  </w:pPr>
                  <w:r>
                    <w:t xml:space="preserve">2182.1</w:t>
                  </w:r>
                </w:p>
              </w:tc>
              <w:tc>
                <w:tcPr/>
                <w:p>
                  <w:pPr>
                    <w:pStyle w:val="Compact"/>
                    <w:jc w:val="left"/>
                    <w:jc w:val="center"/>
                  </w:pPr>
                  <w:r>
                    <w:t xml:space="preserve">ARM64; x86_64 no medido</w:t>
                  </w:r>
                </w:p>
              </w:tc>
            </w:tr>
          </w:tbl>
          <w:bookmarkEnd w:id="41"/>
          <w:p/>
        </w:tc>
      </w:tr>
    </w:tbl>
    <w:p>
      <w:r>
        <w:pict>
          <v:rect style="width:0;height:1.5pt" o:hralign="center" o:hrstd="t" o:hr="t"/>
        </w:pict>
      </w:r>
    </w:p>
    <w:bookmarkEnd w:id="42"/>
    <w:bookmarkEnd w:id="43"/>
    <w:bookmarkStart w:id="48" w:name="Xc7095903020df5e14970680641ef602b443ca6a"/>
    <w:p>
      <w:pPr>
        <w:pStyle w:val="Heading1"/>
      </w:pPr>
      <w:r>
        <w:t xml:space="preserve">4. 4. Protocolo Experimental Multianual y Benchmarking Internacional</w:t>
      </w:r>
    </w:p>
    <w:bookmarkStart w:id="44"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scripts/21_...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4"/>
    <w:bookmarkStart w:id="45"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5"/>
    <w:bookmarkStart w:id="46"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completo):</w:t>
      </w:r>
      <w:r>
        <w:t xml:space="preserve"> </w:t>
      </w:r>
      <w:r>
        <w:t xml:space="preserve">Se implementan FFMC, DMC, DC, BUI, ISI y FWI de Van Wagner</w:t>
      </w:r>
      <w:r>
        <w:t xml:space="preserve"> </w:t>
      </w:r>
      <w:r>
        <w:t xml:space="preserve">(1987)</w:t>
      </w:r>
      <w:r>
        <w:t xml:space="preserve"> </w:t>
      </w:r>
      <w:r>
        <w:t xml:space="preserve">con variables de mediodía de ERA5-Land (15 UTC), lluvia diaria y spin-up desde 2018. Se reporta como FWI completo en todas las tablas.</w:t>
      </w:r>
    </w:p>
    <w:p>
      <w:pPr>
        <w:pStyle w:val="Compact"/>
        <w:numPr>
          <w:ilvl w:val="1"/>
          <w:numId w:val="1009"/>
        </w:numPr>
      </w:pPr>
      <w:r>
        <w:rPr>
          <w:b/>
          <w:bCs/>
        </w:rPr>
        <w:t xml:space="preserve">INPE Risco de Fogo:</w:t>
      </w:r>
      <w:r>
        <w:t xml:space="preserve"> </w:t>
      </w:r>
      <w:r>
        <w:t xml:space="preserve">implementación del método público v11 de Setzer et al.</w:t>
      </w:r>
      <w:r>
        <w:t xml:space="preserve"> </w:t>
      </w:r>
      <w:r>
        <w:t xml:space="preserve">(2019)</w:t>
      </w:r>
      <w:r>
        <w:t xml:space="preserve">, con PSE, factores de precipitación, riesgo básico senoidal, factores de temperatura/HR y corrección latitudinal. Se omite la corrección por focos de los últimos 3 días para evitar fuga de etiquetas en el benchmark de ignición.</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569</m:t>
        </m:r>
        <m:r>
          <m:rPr>
            <m:nor/>
            <m:sty m:val="p"/>
          </m:rPr>
          <m:t> segundos</m:t>
        </m:r>
      </m:oMath>
      <w:r>
        <w:t xml:space="preserve"> </w:t>
      </w:r>
      <w:r>
        <w:t xml:space="preserve">en hardware de consumo ordinario.</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90"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3</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3: Métricas de desempeño en el test ciego out-of-time (2024–2025,</w:t>
            </w:r>
            <w:r>
              <w:t xml:space="preserve"> </w:t>
            </w:r>
            <m:oMath>
              <m:r>
                <m:t>N</m:t>
              </m:r>
              <m:r>
                <m:rPr>
                  <m:sty m:val="p"/>
                </m:rPr>
                <m:t>=</m:t>
              </m:r>
              <m:r>
                <m:t>1.813</m:t>
              </m:r>
              <m:r>
                <m:t>.966</m:t>
              </m:r>
            </m:oMath>
            <w:r>
              <w:t xml:space="preserve"> </w:t>
            </w:r>
            <w:r>
              <w:t xml:space="preserve">celda-días).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0.7851 [0.782 - 0.789]</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[0.770 - 0.777]</w:t>
                  </w:r>
                </w:p>
              </w:tc>
              <w:tc>
                <w:tcPr/>
                <w:p>
                  <w:pPr>
                    <w:pStyle w:val="Compact"/>
                    <w:jc w:val="left"/>
                    <w:jc w:val="center"/>
                  </w:pPr>
                  <w:r>
                    <w:t xml:space="preserve">0.2149</w:t>
                  </w:r>
                </w:p>
              </w:tc>
              <w:tc>
                <w:tcPr/>
                <w:p>
                  <w:pPr>
                    <w:pStyle w:val="Compact"/>
                    <w:jc w:val="left"/>
                    <w:jc w:val="center"/>
                  </w:pPr>
                  <w:r>
                    <w:t xml:space="preserve">0.0120</w:t>
                  </w:r>
                </w:p>
              </w:tc>
              <w:tc>
                <w:tcPr/>
                <w:p>
                  <w:pPr>
                    <w:pStyle w:val="Compact"/>
                    <w:jc w:val="left"/>
                    <w:jc w:val="center"/>
                  </w:pPr>
                  <w:r>
                    <w:t xml:space="preserve">23.10</w:t>
                  </w:r>
                </w:p>
              </w:tc>
              <w:tc>
                <w:tcPr/>
                <w:p>
                  <w:pPr>
                    <w:pStyle w:val="Compact"/>
                    <w:jc w:val="left"/>
                    <w:jc w:val="center"/>
                  </w:pPr>
                  <w:r>
                    <w:t xml:space="preserve">41.01</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0.8988 [0.897 - 0.900]</w:t>
                  </w:r>
                </w:p>
              </w:tc>
              <w:tc>
                <w:tcPr/>
                <w:p>
                  <w:pPr>
                    <w:pStyle w:val="Compact"/>
                    <w:jc w:val="left"/>
                    <w:jc w:val="center"/>
                  </w:pPr>
                  <w:r>
                    <w:t xml:space="preserve">0.6828</w:t>
                  </w:r>
                </w:p>
              </w:tc>
              <w:tc>
                <w:tcPr/>
                <w:p>
                  <w:pPr>
                    <w:pStyle w:val="Compact"/>
                    <w:jc w:val="left"/>
                    <w:jc w:val="center"/>
                  </w:pPr>
                  <w:r>
                    <w:t xml:space="preserve">0.0116</w:t>
                  </w:r>
                </w:p>
              </w:tc>
              <w:tc>
                <w:tcPr/>
                <w:p>
                  <w:pPr>
                    <w:pStyle w:val="Compact"/>
                    <w:jc w:val="left"/>
                    <w:jc w:val="center"/>
                  </w:pPr>
                  <w:r>
                    <w:t xml:space="preserve">84.47</w:t>
                  </w:r>
                </w:p>
              </w:tc>
              <w:tc>
                <w:tcPr/>
                <w:p>
                  <w:pPr>
                    <w:pStyle w:val="Compact"/>
                    <w:jc w:val="left"/>
                    <w:jc w:val="center"/>
                  </w:pPr>
                  <w:r>
                    <w:t xml:space="preserve">50.89</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0.7485 [0.745 - 0.752]</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0.7323 [0.729 - 0.736]</w:t>
                  </w:r>
                </w:p>
              </w:tc>
              <w:tc>
                <w:tcPr/>
                <w:p>
                  <w:pPr>
                    <w:pStyle w:val="Compact"/>
                    <w:jc w:val="left"/>
                    <w:jc w:val="center"/>
                  </w:pPr>
                  <w:r>
                    <w:t xml:space="preserve">0.2033</w:t>
                  </w:r>
                </w:p>
              </w:tc>
              <w:tc>
                <w:tcPr/>
                <w:p>
                  <w:pPr>
                    <w:pStyle w:val="Compact"/>
                    <w:jc w:val="left"/>
                    <w:jc w:val="center"/>
                  </w:pPr>
                  <w:r>
                    <w:t xml:space="preserve">0.0055</w:t>
                  </w:r>
                </w:p>
              </w:tc>
              <w:tc>
                <w:tcPr/>
                <w:p>
                  <w:pPr>
                    <w:pStyle w:val="Compact"/>
                    <w:jc w:val="left"/>
                    <w:jc w:val="center"/>
                  </w:pPr>
                  <w:r>
                    <w:t xml:space="preserve">23.95</w:t>
                  </w:r>
                </w:p>
              </w:tc>
              <w:tc>
                <w:tcPr/>
                <w:p>
                  <w:pPr>
                    <w:pStyle w:val="Compact"/>
                    <w:jc w:val="left"/>
                    <w:jc w:val="center"/>
                  </w:pPr>
                  <w:r>
                    <w:t xml:space="preserve">22.78</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0.7798 [0.778 - 0.781]</w:t>
                  </w:r>
                </w:p>
              </w:tc>
              <w:tc>
                <w:tcPr/>
                <w:p>
                  <w:pPr>
                    <w:pStyle w:val="Compact"/>
                    <w:jc w:val="left"/>
                    <w:jc w:val="center"/>
                  </w:pPr>
                  <w:r>
                    <w:t xml:space="preserve">0.3650</w:t>
                  </w:r>
                </w:p>
              </w:tc>
              <w:tc>
                <w:tcPr/>
                <w:p>
                  <w:pPr>
                    <w:pStyle w:val="Compact"/>
                    <w:jc w:val="left"/>
                    <w:jc w:val="center"/>
                  </w:pPr>
                  <w:r>
                    <w:t xml:space="preserve">0.0076</w:t>
                  </w:r>
                </w:p>
              </w:tc>
              <w:tc>
                <w:tcPr/>
                <w:p>
                  <w:pPr>
                    <w:pStyle w:val="Compact"/>
                    <w:jc w:val="left"/>
                    <w:jc w:val="center"/>
                  </w:pPr>
                  <w:r>
                    <w:t xml:space="preserve">60.78</w:t>
                  </w:r>
                </w:p>
              </w:tc>
              <w:tc>
                <w:tcPr/>
                <w:p>
                  <w:pPr>
                    <w:pStyle w:val="Compact"/>
                    <w:jc w:val="left"/>
                    <w:jc w:val="center"/>
                  </w:pPr>
                  <w:r>
                    <w:t xml:space="preserve">21.33</w:t>
                  </w:r>
                </w:p>
              </w:tc>
              <w:tc>
                <w:tcPr/>
                <w:p>
                  <w:pPr>
                    <w:pStyle w:val="Compact"/>
                    <w:jc w:val="left"/>
                    <w:jc w:val="center"/>
                  </w:pPr>
                  <w:r>
                    <w:t xml:space="preserve">0.0697</w:t>
                  </w:r>
                </w:p>
              </w:tc>
            </w:tr>
          </w:tbl>
          <w:bookmarkEnd w:id="49"/>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8988</m:t>
        </m:r>
      </m:oMath>
      <w:r>
        <w:t xml:space="preserve"> </w:t>
      </w:r>
      <w:r>
        <w:t xml:space="preserve">(</w:t>
      </w:r>
      <m:oMath>
        <m:r>
          <m:rPr>
            <m:sty m:val="p"/>
          </m:rPr>
          <m:t>[</m:t>
        </m:r>
        <m:r>
          <m:t>0</m:t>
        </m:r>
        <m:r>
          <m:rPr>
            <m:sty m:val="p"/>
          </m:rPr>
          <m:t>,</m:t>
        </m:r>
        <m:r>
          <m:t>897</m:t>
        </m:r>
        <m:r>
          <m:rPr>
            <m:sty m:val="p"/>
          </m:rPr>
          <m:t>−</m:t>
        </m:r>
        <m:r>
          <m:t>0</m:t>
        </m:r>
        <m:r>
          <m:rPr>
            <m:sty m:val="p"/>
          </m:rPr>
          <m:t>,</m:t>
        </m:r>
        <m:r>
          <m:t>900</m:t>
        </m:r>
        <m:r>
          <m:rPr>
            <m:sty m:val="p"/>
          </m:rPr>
          <m:t>]</m:t>
        </m:r>
      </m:oMath>
      <w:r>
        <w:t xml:space="preserve">), un PR-AUC de</w:t>
      </w:r>
      <w:r>
        <w:t xml:space="preserve"> </w:t>
      </w:r>
      <m:oMath>
        <m:r>
          <m:t>0</m:t>
        </m:r>
        <m:r>
          <m:rPr>
            <m:sty m:val="p"/>
          </m:rPr>
          <m:t>,</m:t>
        </m:r>
        <m:r>
          <m:t>6828</m:t>
        </m:r>
      </m:oMath>
      <w:r>
        <w:t xml:space="preserve"> </w:t>
      </w:r>
      <w:r>
        <w:t xml:space="preserve">y una precisión táctica case-control del</w:t>
      </w:r>
      <w:r>
        <w:t xml:space="preserve"> </w:t>
      </w:r>
      <m:oMath>
        <m:r>
          <m:t>84</m:t>
        </m:r>
        <m:r>
          <m:rPr>
            <m:sty m:val="p"/>
          </m:rPr>
          <m:t>,</m:t>
        </m:r>
        <m:r>
          <m:t>47</m:t>
        </m:r>
        <m:r>
          <m:rPr>
            <m:nor/>
            <m:sty m:val="p"/>
          </m:rPr>
          <m:t> %</m:t>
        </m:r>
      </m:oMath>
      <w:r>
        <w:t xml:space="preserve">, con pocas falsas alarmas en esa muestra. En la Región Oriental, la precisión táctica case-control bajo corte optimizado asciende al</w:t>
      </w:r>
      <w:r>
        <w:t xml:space="preserve"> </w:t>
      </w:r>
      <m:oMath>
        <m:r>
          <m:t>60</m:t>
        </m:r>
        <m:r>
          <m:rPr>
            <m:sty m:val="p"/>
          </m:rPr>
          <m:t>,</m:t>
        </m:r>
        <m:r>
          <m:t>78</m:t>
        </m:r>
        <m:r>
          <m:rPr>
            <m:nor/>
            <m:sty m:val="p"/>
          </m:rPr>
          <m:t> %</m:t>
        </m:r>
      </m:oMath>
      <w:r>
        <w:t xml:space="preserve"> </w:t>
      </w:r>
      <w:r>
        <w:t xml:space="preserve">con un ROC-AUC de</w:t>
      </w:r>
      <w:r>
        <w:t xml:space="preserve"> </w:t>
      </w:r>
      <m:oMath>
        <m:r>
          <m:t>0</m:t>
        </m:r>
        <m:r>
          <m:rPr>
            <m:sty m:val="p"/>
          </m:rPr>
          <m:t>,</m:t>
        </m:r>
        <m:r>
          <m:t>7798</m:t>
        </m:r>
      </m:oMath>
      <w:r>
        <w:t xml:space="preserve"> </w:t>
      </w:r>
      <w:r>
        <w:t xml:space="preserve">(</w:t>
      </w:r>
      <m:oMath>
        <m:r>
          <m:rPr>
            <m:sty m:val="p"/>
          </m:rPr>
          <m:t>[</m:t>
        </m:r>
        <m:r>
          <m:t>0</m:t>
        </m:r>
        <m:r>
          <m:rPr>
            <m:sty m:val="p"/>
          </m:rPr>
          <m:t>,</m:t>
        </m:r>
        <m:r>
          <m:t>778</m:t>
        </m:r>
        <m:r>
          <m:rPr>
            <m:sty m:val="p"/>
          </m:rPr>
          <m:t>−</m:t>
        </m:r>
        <m:r>
          <m:t>0</m:t>
        </m:r>
        <m:r>
          <m:rPr>
            <m:sty m:val="p"/>
          </m:rPr>
          <m:t>,</m:t>
        </m:r>
        <m:r>
          <m:t>782</m:t>
        </m:r>
        <m:r>
          <m:rPr>
            <m:sty m:val="p"/>
          </m:rPr>
          <m:t>]</m:t>
        </m:r>
      </m:oMath>
      <w:r>
        <w:t xml:space="preserve">) y PR-AUC de</w:t>
      </w:r>
      <w:r>
        <w:t xml:space="preserve"> </w:t>
      </w:r>
      <m:oMath>
        <m:r>
          <m:t>0</m:t>
        </m:r>
        <m:r>
          <m:rPr>
            <m:sty m:val="p"/>
          </m:rPr>
          <m:t>,</m:t>
        </m:r>
        <m:r>
          <m:t>3650</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7851</m:t>
        </m:r>
      </m:oMath>
      <w:r>
        <w:t xml:space="preserve"> </w:t>
      </w:r>
      <w:r>
        <w:t xml:space="preserve">(</w:t>
      </w:r>
      <m:oMath>
        <m:r>
          <m:rPr>
            <m:sty m:val="p"/>
          </m:rPr>
          <m:t>[</m:t>
        </m:r>
        <m:r>
          <m:t>0</m:t>
        </m:r>
        <m:r>
          <m:rPr>
            <m:sty m:val="p"/>
          </m:rPr>
          <m:t>,</m:t>
        </m:r>
        <m:r>
          <m:t>782</m:t>
        </m:r>
        <m:r>
          <m:rPr>
            <m:sty m:val="p"/>
          </m:rPr>
          <m:t>−</m:t>
        </m:r>
        <m:r>
          <m:t>0</m:t>
        </m:r>
        <m:r>
          <m:rPr>
            <m:sty m:val="p"/>
          </m:rPr>
          <m:t>,</m:t>
        </m:r>
        <m:r>
          <m:t>788</m:t>
        </m:r>
        <m:r>
          <m:rPr>
            <m:sty m:val="p"/>
          </m:rPr>
          <m:t>]</m:t>
        </m:r>
      </m:oMath>
      <w:r>
        <w:t xml:space="preserve">) en el Chaco y un ROC-AUC de</w:t>
      </w:r>
      <w:r>
        <w:t xml:space="preserve"> </w:t>
      </w:r>
      <m:oMath>
        <m:r>
          <m:t>0</m:t>
        </m:r>
        <m:r>
          <m:rPr>
            <m:sty m:val="p"/>
          </m:rPr>
          <m:t>,</m:t>
        </m:r>
        <m:r>
          <m:t>7485</m:t>
        </m:r>
      </m:oMath>
      <w:r>
        <w:t xml:space="preserve"> </w:t>
      </w:r>
      <w:r>
        <w:t xml:space="preserve">(</w:t>
      </w:r>
      <m:oMath>
        <m:r>
          <m:rPr>
            <m:sty m:val="p"/>
          </m:rPr>
          <m:t>[</m:t>
        </m:r>
        <m:r>
          <m:t>0</m:t>
        </m:r>
        <m:r>
          <m:rPr>
            <m:sty m:val="p"/>
          </m:rPr>
          <m:t>,</m:t>
        </m:r>
        <m:r>
          <m:t>745</m:t>
        </m:r>
        <m:r>
          <m:rPr>
            <m:sty m:val="p"/>
          </m:rPr>
          <m:t>−</m:t>
        </m:r>
        <m:r>
          <m:t>0</m:t>
        </m:r>
        <m:r>
          <m:rPr>
            <m:sty m:val="p"/>
          </m:rPr>
          <m:t>,</m:t>
        </m:r>
        <m:r>
          <m:t>751</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w:t>
      </w:r>
      <w:r>
        <w:t xml:space="preserve">(reduciendo los falsos positivos a</w:t>
      </w:r>
      <w:r>
        <w:t xml:space="preserve"> </w:t>
      </w:r>
      <m:oMath>
        <m:r>
          <m:t>13.011</m:t>
        </m:r>
      </m:oMath>
      <w:r>
        <w:t xml:space="preserve"> </w:t>
      </w:r>
      <w:r>
        <w:t xml:space="preserve">en Chaco y</w:t>
      </w:r>
      <w:r>
        <w:t xml:space="preserve"> </w:t>
      </w:r>
      <m:oMath>
        <m:r>
          <m:t>8.787</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0110</m:t>
        </m:r>
      </m:oMath>
      <w:r>
        <w:t xml:space="preserve"> </w:t>
      </w:r>
      <w:r>
        <w:t xml:space="preserve">y</w:t>
      </w:r>
      <w:r>
        <w:t xml:space="preserve"> </w:t>
      </w:r>
      <m:oMath>
        <m:r>
          <m:t>0</m:t>
        </m:r>
        <m:r>
          <m:rPr>
            <m:sty m:val="p"/>
          </m:rPr>
          <m:t>,</m:t>
        </m:r>
        <m:r>
          <m:t>0065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0120</m:t>
        </m:r>
      </m:oMath>
      <w:r>
        <w:t xml:space="preserve"> </w:t>
      </w:r>
      <w:r>
        <w:t xml:space="preserve">y</w:t>
      </w:r>
      <w:r>
        <w:t xml:space="preserve"> </w:t>
      </w:r>
      <m:oMath>
        <m:r>
          <m:t>0</m:t>
        </m:r>
        <m:r>
          <m:rPr>
            <m:sty m:val="p"/>
          </m:rPr>
          <m:t>,</m:t>
        </m:r>
        <m:r>
          <m:t>0055</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3114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3"/>
        </w:tc>
      </w:tr>
    </w:tbl>
    <w:bookmarkEnd w:id="54"/>
    <w:bookmarkStart w:id="67"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4</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remuestreo no paramétrico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4: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0.7485 [0.745 - 0.752]</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0.0735</w:t>
                  </w:r>
                </w:p>
              </w:tc>
              <w:tc>
                <w:tcPr/>
                <w:p>
                  <w:pPr>
                    <w:pStyle w:val="Compact"/>
                    <w:jc w:val="left"/>
                    <w:jc w:val="center"/>
                  </w:pPr>
                  <w:r>
                    <w:t xml:space="preserve">8,787</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0.7323 [0.729 - 0.736]</w:t>
                  </w:r>
                </w:p>
              </w:tc>
              <w:tc>
                <w:tcPr/>
                <w:p>
                  <w:pPr>
                    <w:pStyle w:val="Compact"/>
                    <w:jc w:val="left"/>
                    <w:jc w:val="center"/>
                  </w:pPr>
                  <w:r>
                    <w:t xml:space="preserve">0.2033</w:t>
                  </w:r>
                </w:p>
              </w:tc>
              <w:tc>
                <w:tcPr/>
                <w:p>
                  <w:pPr>
                    <w:pStyle w:val="Compact"/>
                    <w:jc w:val="left"/>
                    <w:jc w:val="center"/>
                  </w:pPr>
                  <w:r>
                    <w:t xml:space="preserve">0.0055</w:t>
                  </w:r>
                </w:p>
              </w:tc>
              <w:tc>
                <w:tcPr/>
                <w:p>
                  <w:pPr>
                    <w:pStyle w:val="Compact"/>
                    <w:jc w:val="left"/>
                    <w:jc w:val="center"/>
                  </w:pPr>
                  <w:r>
                    <w:t xml:space="preserve">0.0582</w:t>
                  </w:r>
                </w:p>
              </w:tc>
              <w:tc>
                <w:tcPr/>
                <w:p>
                  <w:pPr>
                    <w:pStyle w:val="Compact"/>
                    <w:jc w:val="left"/>
                    <w:jc w:val="center"/>
                  </w:pPr>
                  <w:r>
                    <w:t xml:space="preserve">13,145</w:t>
                  </w:r>
                </w:p>
              </w:tc>
            </w:tr>
            <w:tr>
              <w:tc>
                <w:tcPr/>
                <w:p>
                  <w:pPr>
                    <w:pStyle w:val="Compact"/>
                    <w:jc w:val="left"/>
                    <w:jc w:val="center"/>
                  </w:pPr>
                  <w:r>
                    <w:t xml:space="preserve">Oriental</w:t>
                  </w:r>
                </w:p>
              </w:tc>
              <w:tc>
                <w:tcPr/>
                <w:p>
                  <w:pPr>
                    <w:pStyle w:val="Compact"/>
                    <w:jc w:val="left"/>
                    <w:jc w:val="center"/>
                  </w:pPr>
                  <w:r>
                    <w:t xml:space="preserve">Canadian FWI completo</w:t>
                  </w:r>
                </w:p>
              </w:tc>
              <w:tc>
                <w:tcPr/>
                <w:p>
                  <w:pPr>
                    <w:pStyle w:val="Compact"/>
                    <w:jc w:val="left"/>
                    <w:jc w:val="center"/>
                  </w:pPr>
                  <w:r>
                    <w:t xml:space="preserve">0.5569 [0.553 - 0.561]</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left"/>
                    <w:jc w:val="center"/>
                  </w:pPr>
                  <w:r>
                    <w:t xml:space="preserve">0.4994 [0.496 - 0.504]</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142,453</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0.7798 [0.778 - 0.781]</w:t>
                  </w:r>
                </w:p>
              </w:tc>
              <w:tc>
                <w:tcPr/>
                <w:p>
                  <w:pPr>
                    <w:pStyle w:val="Compact"/>
                    <w:jc w:val="left"/>
                    <w:jc w:val="center"/>
                  </w:pPr>
                  <w:r>
                    <w:t xml:space="preserve">0.3650</w:t>
                  </w:r>
                </w:p>
              </w:tc>
              <w:tc>
                <w:tcPr/>
                <w:p>
                  <w:pPr>
                    <w:pStyle w:val="Compact"/>
                    <w:jc w:val="left"/>
                    <w:jc w:val="center"/>
                  </w:pPr>
                  <w:r>
                    <w:t xml:space="preserve">0.0076</w:t>
                  </w:r>
                </w:p>
              </w:tc>
              <w:tc>
                <w:tcPr/>
                <w:p>
                  <w:pPr>
                    <w:pStyle w:val="Compact"/>
                    <w:jc w:val="left"/>
                    <w:jc w:val="center"/>
                  </w:pPr>
                  <w:r>
                    <w:t xml:space="preserve">0.1571</w:t>
                  </w:r>
                </w:p>
              </w:tc>
              <w:tc>
                <w:tcPr/>
                <w:p>
                  <w:pPr>
                    <w:pStyle w:val="Compact"/>
                    <w:jc w:val="left"/>
                    <w:jc w:val="center"/>
                  </w:pPr>
                  <w:r>
                    <w:t xml:space="preserve">10,771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0.7851 [0.782 - 0.789]</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0.0896</w:t>
                  </w:r>
                </w:p>
              </w:tc>
              <w:tc>
                <w:tcPr/>
                <w:p>
                  <w:pPr>
                    <w:pStyle w:val="Compact"/>
                    <w:jc w:val="left"/>
                    <w:jc w:val="center"/>
                  </w:pPr>
                  <w:r>
                    <w:t xml:space="preserve">13,011</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[0.770 - 0.777]</w:t>
                  </w:r>
                </w:p>
              </w:tc>
              <w:tc>
                <w:tcPr/>
                <w:p>
                  <w:pPr>
                    <w:pStyle w:val="Compact"/>
                    <w:jc w:val="left"/>
                    <w:jc w:val="center"/>
                  </w:pPr>
                  <w:r>
                    <w:t xml:space="preserve">0.2149</w:t>
                  </w:r>
                </w:p>
              </w:tc>
              <w:tc>
                <w:tcPr/>
                <w:p>
                  <w:pPr>
                    <w:pStyle w:val="Compact"/>
                    <w:jc w:val="left"/>
                    <w:jc w:val="center"/>
                  </w:pPr>
                  <w:r>
                    <w:t xml:space="preserve">0.0120</w:t>
                  </w:r>
                </w:p>
              </w:tc>
              <w:tc>
                <w:tcPr/>
                <w:p>
                  <w:pPr>
                    <w:pStyle w:val="Compact"/>
                    <w:jc w:val="left"/>
                    <w:jc w:val="center"/>
                  </w:pPr>
                  <w:r>
                    <w:t xml:space="preserve">0.0749</w:t>
                  </w:r>
                </w:p>
              </w:tc>
              <w:tc>
                <w:tcPr/>
                <w:p>
                  <w:pPr>
                    <w:pStyle w:val="Compact"/>
                    <w:jc w:val="left"/>
                    <w:jc w:val="center"/>
                  </w:pPr>
                  <w:r>
                    <w:t xml:space="preserve">21,923</w:t>
                  </w:r>
                </w:p>
              </w:tc>
            </w:tr>
            <w:tr>
              <w:tc>
                <w:tcPr/>
                <w:p>
                  <w:pPr>
                    <w:pStyle w:val="Compact"/>
                    <w:jc w:val="left"/>
                    <w:jc w:val="center"/>
                  </w:pPr>
                  <w:r>
                    <w:t xml:space="preserve">Chaco</w:t>
                  </w:r>
                </w:p>
              </w:tc>
              <w:tc>
                <w:tcPr/>
                <w:p>
                  <w:pPr>
                    <w:pStyle w:val="Compact"/>
                    <w:jc w:val="left"/>
                    <w:jc w:val="center"/>
                  </w:pPr>
                  <w:r>
                    <w:t xml:space="preserve">Canadian FWI completo</w:t>
                  </w:r>
                </w:p>
              </w:tc>
              <w:tc>
                <w:tcPr/>
                <w:p>
                  <w:pPr>
                    <w:pStyle w:val="Compact"/>
                    <w:jc w:val="left"/>
                    <w:jc w:val="center"/>
                  </w:pPr>
                  <w:r>
                    <w:t xml:space="preserve">0.5185 [0.514 - 0.523]</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left"/>
                    <w:jc w:val="center"/>
                  </w:pPr>
                  <w:r>
                    <w:t xml:space="preserve">0.5386 [0.534 - 0.543]</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15,910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0.8988 [0.897 - 0.900]</w:t>
                  </w:r>
                </w:p>
              </w:tc>
              <w:tc>
                <w:tcPr/>
                <w:p>
                  <w:pPr>
                    <w:pStyle w:val="Compact"/>
                    <w:jc w:val="left"/>
                    <w:jc w:val="center"/>
                  </w:pPr>
                  <w:r>
                    <w:t xml:space="preserve">0.6828</w:t>
                  </w:r>
                </w:p>
              </w:tc>
              <w:tc>
                <w:tcPr/>
                <w:p>
                  <w:pPr>
                    <w:pStyle w:val="Compact"/>
                    <w:jc w:val="left"/>
                    <w:jc w:val="center"/>
                  </w:pPr>
                  <w:r>
                    <w:t xml:space="preserve">0.0116</w:t>
                  </w:r>
                </w:p>
              </w:tc>
              <w:tc>
                <w:tcPr/>
                <w:p>
                  <w:pPr>
                    <w:pStyle w:val="Compact"/>
                    <w:jc w:val="left"/>
                    <w:jc w:val="center"/>
                  </w:pPr>
                  <w:r>
                    <w:t xml:space="preserve">0.4586</w:t>
                  </w:r>
                </w:p>
              </w:tc>
              <w:tc>
                <w:tcPr/>
                <w:p>
                  <w:pPr>
                    <w:pStyle w:val="Compact"/>
                    <w:jc w:val="left"/>
                    <w:jc w:val="center"/>
                  </w:pPr>
                  <w:r>
                    <w:t xml:space="preserve">4,902</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bl>
          <w:bookmarkEnd w:id="55"/>
          <w:p/>
        </w:tc>
      </w:tr>
    </w:tbl>
    <w:p>
      <w:pPr>
        <w:pStyle w:val="BodyText"/>
      </w:pPr>
      <w:r>
        <w:t xml:space="preserve">Se realizó un bootstrap pareado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INPE Risco de Fogo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5</w:t>
        </w:r>
      </w:hyperlink>
      <w:r>
        <w:t xml:space="preserve">. Esto no corrige el sesgo de prevalencia ni la falta de independencia espacial;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6" w:name="tbl-significancia"/>
          <w:p>
            <w:pPr>
              <w:jc w:val="center"/>
            </w:pPr>
            <w:pPr>
              <w:jc w:val="left"/>
              <w:spacing w:before="200"/>
              <w:pStyle w:val="ImageCaption"/>
            </w:pPr>
            <w:r>
              <w:t xml:space="preserve">Tabla 5: Pruebas pareadas de diferencia de ROC-AUC mediante bootstrap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completo</w:t>
                  </w:r>
                </w:p>
              </w:tc>
              <w:tc>
                <w:tcPr/>
                <w:p>
                  <w:pPr>
                    <w:pStyle w:val="Compact"/>
                    <w:jc w:val="left"/>
                    <w:jc w:val="center"/>
                  </w:pPr>
                  <w:r>
                    <w:t xml:space="preserve">+0.1916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INPE Risco de Fogo</w:t>
                  </w:r>
                </w:p>
              </w:tc>
              <w:tc>
                <w:tcPr/>
                <w:p>
                  <w:pPr>
                    <w:pStyle w:val="Compact"/>
                    <w:jc w:val="left"/>
                    <w:jc w:val="center"/>
                  </w:pPr>
                  <w:r>
                    <w:t xml:space="preserve">+0.2492</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completo</w:t>
                  </w:r>
                </w:p>
              </w:tc>
              <w:tc>
                <w:tcPr/>
                <w:p>
                  <w:pPr>
                    <w:pStyle w:val="Compact"/>
                    <w:jc w:val="left"/>
                    <w:jc w:val="center"/>
                  </w:pPr>
                  <w:r>
                    <w:t xml:space="preserve">+0.2667</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INPE Risco de Fogo</w:t>
                  </w:r>
                </w:p>
              </w:tc>
              <w:tc>
                <w:tcPr/>
                <w:p>
                  <w:pPr>
                    <w:pStyle w:val="Compact"/>
                    <w:jc w:val="left"/>
                    <w:jc w:val="center"/>
                  </w:pPr>
                  <w:r>
                    <w:t xml:space="preserve">+0.2465</w:t>
                  </w:r>
                </w:p>
              </w:tc>
              <w:tc>
                <w:tcPr/>
                <w:p>
                  <w:pPr>
                    <w:pStyle w:val="Compact"/>
                    <w:jc w:val="left"/>
                    <w:jc w:val="center"/>
                  </w:pPr>
                  <w:r>
                    <w:t xml:space="preserve">≤0,001</w:t>
                  </w:r>
                </w:p>
              </w:tc>
            </w:tr>
          </w:tbl>
          <w:bookmarkEnd w:id="56"/>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w:t>
      </w:r>
      <w:r>
        <w:t xml:space="preserve"> </w:t>
      </w:r>
      <m:oMath>
        <m:sSub>
          <m:e>
            <m:r>
              <m:rPr>
                <m:scr m:val="script"/>
                <m:sty m:val="p"/>
              </m:rPr>
              <m:t>M</m:t>
            </m:r>
          </m:e>
          <m:sub>
            <m:r>
              <m:t>3</m:t>
            </m:r>
          </m:sub>
        </m:sSub>
      </m:oMath>
      <w:r>
        <w:t xml:space="preserve"> </w:t>
      </w:r>
      <w:r>
        <w:t xml:space="preserve">supera al Canadian FWI completo por</w:t>
      </w:r>
      <w:r>
        <w:t xml:space="preserve"> </w:t>
      </w:r>
      <m:oMath>
        <m:r>
          <m:rPr>
            <m:sty m:val="p"/>
          </m:rPr>
          <m:t>Δ</m:t>
        </m:r>
        <m:r>
          <m:rPr>
            <m:nor/>
            <m:sty m:val="p"/>
          </m:rPr>
          <m:t>ROC</m:t>
        </m:r>
        <m:r>
          <m:rPr>
            <m:sty m:val="p"/>
          </m:rPr>
          <m:t>=</m:t>
        </m:r>
        <m:r>
          <m:rPr>
            <m:sty m:val="p"/>
          </m:rPr>
          <m:t>+</m:t>
        </m:r>
        <m:r>
          <m:t>0</m:t>
        </m:r>
        <m:r>
          <m:rPr>
            <m:sty m:val="p"/>
          </m:rPr>
          <m:t>,</m:t>
        </m:r>
        <m:r>
          <m:t>2667</m:t>
        </m:r>
      </m:oMath>
      <w:r>
        <w:t xml:space="preserve"> </w:t>
      </w:r>
      <w:r>
        <w:t xml:space="preserve">y al INPE Risco de Fogo por</w:t>
      </w:r>
      <w:r>
        <w:t xml:space="preserve"> </w:t>
      </w:r>
      <m:oMath>
        <m:r>
          <m:rPr>
            <m:sty m:val="p"/>
          </m:rPr>
          <m:t>+</m:t>
        </m:r>
        <m:r>
          <m:t>0</m:t>
        </m:r>
        <m:r>
          <m:rPr>
            <m:sty m:val="p"/>
          </m:rPr>
          <m:t>,</m:t>
        </m:r>
        <m:r>
          <m:t>2465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13.011</m:t>
        </m:r>
      </m:oMath>
      <w:r>
        <w:t xml:space="preserve"> </w:t>
      </w:r>
      <w:r>
        <w:t xml:space="preserve">(</w:t>
      </w:r>
      <m:oMath>
        <m:sSub>
          <m:e>
            <m:r>
              <m:rPr>
                <m:scr m:val="script"/>
                <m:sty m:val="p"/>
              </m:rPr>
              <m:t>M</m:t>
            </m:r>
          </m:e>
          <m:sub>
            <m:r>
              <m:t>3</m:t>
            </m:r>
          </m:sub>
        </m:sSub>
      </m:oMath>
      <w:r>
        <w:t xml:space="preserve">),</w:t>
      </w:r>
      <w:r>
        <w:t xml:space="preserve"> </w:t>
      </w:r>
      <m:oMath>
        <m:r>
          <m:t>21.923</m:t>
        </m:r>
      </m:oMath>
      <w:r>
        <w:t xml:space="preserve"> </w:t>
      </w:r>
      <w:r>
        <w:t xml:space="preserve">(</w:t>
      </w:r>
      <m:oMath>
        <m:sSub>
          <m:e>
            <m:r>
              <m:rPr>
                <m:scr m:val="script"/>
                <m:sty m:val="p"/>
              </m:rPr>
              <m:t>M</m:t>
            </m:r>
          </m:e>
          <m:sub>
            <m:r>
              <m:t>2</m:t>
            </m:r>
          </m:sub>
        </m:sSub>
      </m:oMath>
      <w:r>
        <w:t xml:space="preserve">),</w:t>
      </w:r>
      <w:r>
        <w:t xml:space="preserve"> </w:t>
      </w:r>
      <m:oMath>
        <m:r>
          <m:t>15.910</m:t>
        </m:r>
      </m:oMath>
      <w:r>
        <w:t xml:space="preserve"> </w:t>
      </w:r>
      <w:r>
        <w:t xml:space="preserve">(INPE) y</w:t>
      </w:r>
      <w:r>
        <w:t xml:space="preserve"> </w:t>
      </w:r>
      <m:oMath>
        <m:r>
          <m:t>150.654</m:t>
        </m:r>
      </m:oMath>
      <w:r>
        <w:t xml:space="preserve"> </w:t>
      </w:r>
      <w:r>
        <w:t xml:space="preserve">(FWI).</w:t>
      </w:r>
      <w:r>
        <w:t xml:space="preserve"> </w:t>
      </w:r>
      <w:r>
        <w:t xml:space="preserve">- En la</w:t>
      </w:r>
      <w:r>
        <w:t xml:space="preserve"> </w:t>
      </w:r>
      <w:r>
        <w:rPr>
          <w:b/>
          <w:bCs/>
        </w:rPr>
        <w:t xml:space="preserve">Región Oriental</w:t>
      </w:r>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1916</m:t>
        </m:r>
      </m:oMath>
      <w:r>
        <w:t xml:space="preserve"> </w:t>
      </w:r>
      <w:r>
        <w:t xml:space="preserve">y al INPE por</w:t>
      </w:r>
      <w:r>
        <w:t xml:space="preserve"> </w:t>
      </w:r>
      <m:oMath>
        <m:r>
          <m:rPr>
            <m:sty m:val="p"/>
          </m:rPr>
          <m:t>+</m:t>
        </m:r>
        <m:r>
          <m:t>0</m:t>
        </m:r>
        <m:r>
          <m:rPr>
            <m:sty m:val="p"/>
          </m:rPr>
          <m:t>,</m:t>
        </m:r>
        <m:r>
          <m:t>2492</m:t>
        </m:r>
      </m:oMath>
      <w:r>
        <w:t xml:space="preserve">. Los falsos positivos case-control son</w:t>
      </w:r>
      <w:r>
        <w:t xml:space="preserve"> </w:t>
      </w:r>
      <m:oMath>
        <m:r>
          <m:t>8.787</m:t>
        </m:r>
      </m:oMath>
      <w:r>
        <w:t xml:space="preserve"> </w:t>
      </w:r>
      <w:r>
        <w:t xml:space="preserve">(</w:t>
      </w:r>
      <m:oMath>
        <m:sSub>
          <m:e>
            <m:r>
              <m:rPr>
                <m:scr m:val="script"/>
                <m:sty m:val="p"/>
              </m:rPr>
              <m:t>M</m:t>
            </m:r>
          </m:e>
          <m:sub>
            <m:r>
              <m:t>3</m:t>
            </m:r>
          </m:sub>
        </m:sSub>
      </m:oMath>
      <w:r>
        <w:t xml:space="preserve">),</w:t>
      </w:r>
      <w:r>
        <w:t xml:space="preserve"> </w:t>
      </w:r>
      <m:oMath>
        <m:r>
          <m:t>13.145</m:t>
        </m:r>
      </m:oMath>
      <w:r>
        <w:t xml:space="preserve"> </w:t>
      </w:r>
      <w:r>
        <w:t xml:space="preserve">(</w:t>
      </w:r>
      <m:oMath>
        <m:sSub>
          <m:e>
            <m:r>
              <m:rPr>
                <m:scr m:val="script"/>
                <m:sty m:val="p"/>
              </m:rPr>
              <m:t>M</m:t>
            </m:r>
          </m:e>
          <m:sub>
            <m:r>
              <m:t>2</m:t>
            </m:r>
          </m:sub>
        </m:sSub>
      </m:oMath>
      <w:r>
        <w:t xml:space="preserve">),</w:t>
      </w:r>
      <w:r>
        <w:t xml:space="preserve"> </w:t>
      </w:r>
      <m:oMath>
        <m:r>
          <m:t>142.453</m:t>
        </m:r>
      </m:oMath>
      <w:r>
        <w:t xml:space="preserve"> </w:t>
      </w:r>
      <w:r>
        <w:t xml:space="preserve">(INPE) y</w:t>
      </w:r>
      <w:r>
        <w:t xml:space="preserve"> </w:t>
      </w:r>
      <m:oMath>
        <m:r>
          <m:t>52.650</m:t>
        </m:r>
      </m:oMath>
      <w:r>
        <w:t xml:space="preserve"> </w:t>
      </w:r>
      <w:r>
        <w:t xml:space="preserve">(FWI).</w:t>
      </w:r>
      <w:r>
        <w:t xml:space="preserve"> </w:t>
      </w:r>
      <w:r>
        <w:t xml:space="preserve">- Estas cifras son case-control (~9,09 % de prevalencia). La evaluación poblacional (Tabla Suplementaria S6) muestra precisiones de 0,062 %/0,206 % para</w:t>
      </w:r>
      <w:r>
        <w:t xml:space="preserve"> </w:t>
      </w:r>
      <m:oMath>
        <m:sSub>
          <m:e>
            <m:r>
              <m:rPr>
                <m:scr m:val="script"/>
                <m:sty m:val="p"/>
              </m:rPr>
              <m:t>M</m:t>
            </m:r>
          </m:e>
          <m:sub>
            <m:r>
              <m:t>3</m:t>
            </m:r>
          </m:sub>
        </m:sSub>
      </m:oMath>
      <w:r>
        <w:t xml:space="preserve"> </w:t>
      </w:r>
      <w:r>
        <w:t xml:space="preserve">y 9,853 %/4,183 %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60" w:name="fig-benchmark-curvas"/>
          <w:p>
            <w:pPr>
              <w:pStyle w:val="Compact"/>
              <w:jc w:val="center"/>
            </w:pPr>
            <w:r>
              <w:drawing>
                <wp:inline>
                  <wp:extent cx="5334000" cy="3911600"/>
                  <wp:effectExtent b="0" l="0" r="0" t="0"/>
                  <wp:docPr descr="" title="" id="58" name="Picture"/>
                  <a:graphic>
                    <a:graphicData uri="http://schemas.openxmlformats.org/drawingml/2006/picture">
                      <pic:pic>
                        <pic:nvPicPr>
                          <pic:cNvPr descr="figuras/fig05_benchmarking_curvas_roc_pr.png" id="59" name="Picture"/>
                          <pic:cNvPicPr>
                            <a:picLocks noChangeArrowheads="1" noChangeAspect="1"/>
                          </pic:cNvPicPr>
                        </pic:nvPicPr>
                        <pic:blipFill>
                          <a:blip r:embed="rId57"/>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60"/>
        </w:tc>
      </w:tr>
    </w:tbl>
    <w:bookmarkStart w:id="66"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6</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61" w:name="tbl-ablacion"/>
          <w:p>
            <w:pPr>
              <w:jc w:val="center"/>
            </w:pPr>
            <w:pPr>
              <w:jc w:val="left"/>
              <w:spacing w:before="200"/>
              <w:pStyle w:val="ImageCaption"/>
            </w:pPr>
            <w:r>
              <w:t xml:space="preserve">Tabla 6: Ablación controlada: M1, M2 y M3 usan la misma capacidad (45/60 rounds, 23/31 hojas).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0.7851 [0.782 - 0.789]</w:t>
                  </w:r>
                </w:p>
              </w:tc>
              <w:tc>
                <w:tcPr/>
                <w:p>
                  <w:pPr>
                    <w:pStyle w:val="Compact"/>
                    <w:jc w:val="left"/>
                    <w:jc w:val="center"/>
                  </w:pPr>
                  <w:r>
                    <w:t xml:space="preserve">0.2410</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13,016</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0.7751 [0.772 - 0.778]</w:t>
                  </w:r>
                </w:p>
              </w:tc>
              <w:tc>
                <w:tcPr/>
                <w:p>
                  <w:pPr>
                    <w:pStyle w:val="Compact"/>
                    <w:jc w:val="left"/>
                    <w:jc w:val="center"/>
                  </w:pPr>
                  <w:r>
                    <w:t xml:space="preserve">0.2219</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0.0110</w:t>
                  </w:r>
                </w:p>
              </w:tc>
              <w:tc>
                <w:tcPr/>
                <w:p>
                  <w:pPr>
                    <w:pStyle w:val="Compact"/>
                    <w:jc w:val="left"/>
                    <w:jc w:val="center"/>
                  </w:pPr>
                  <w:r>
                    <w:t xml:space="preserve">23.27</w:t>
                  </w:r>
                </w:p>
              </w:tc>
              <w:tc>
                <w:tcPr/>
                <w:p>
                  <w:pPr>
                    <w:pStyle w:val="Compact"/>
                    <w:jc w:val="left"/>
                    <w:jc w:val="center"/>
                  </w:pPr>
                  <w:r>
                    <w:t xml:space="preserve">39.26</w:t>
                  </w:r>
                </w:p>
              </w:tc>
              <w:tc>
                <w:tcPr/>
                <w:p>
                  <w:pPr>
                    <w:pStyle w:val="Compact"/>
                    <w:jc w:val="left"/>
                    <w:jc w:val="center"/>
                  </w:pPr>
                  <w:r>
                    <w:t xml:space="preserve">20,787</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0.6287 [0.624 - 0.633]</w:t>
                  </w:r>
                </w:p>
              </w:tc>
              <w:tc>
                <w:tcPr/>
                <w:p>
                  <w:pPr>
                    <w:pStyle w:val="Compact"/>
                    <w:jc w:val="left"/>
                    <w:jc w:val="center"/>
                  </w:pPr>
                  <w:r>
                    <w:t xml:space="preserve">0.1515</w:t>
                  </w:r>
                </w:p>
              </w:tc>
              <w:tc>
                <w:tcPr/>
                <w:p>
                  <w:pPr>
                    <w:pStyle w:val="Compact"/>
                    <w:jc w:val="left"/>
                    <w:jc w:val="center"/>
                  </w:pPr>
                  <w:r>
                    <w:t xml:space="preserve">0.0809</w:t>
                  </w:r>
                </w:p>
              </w:tc>
              <w:tc>
                <w:tcPr/>
                <w:p>
                  <w:pPr>
                    <w:pStyle w:val="Compact"/>
                    <w:jc w:val="left"/>
                    <w:jc w:val="center"/>
                  </w:pPr>
                  <w:r>
                    <w:t xml:space="preserve">0.0207</w:t>
                  </w:r>
                </w:p>
              </w:tc>
              <w:tc>
                <w:tcPr/>
                <w:p>
                  <w:pPr>
                    <w:pStyle w:val="Compact"/>
                    <w:jc w:val="left"/>
                    <w:jc w:val="center"/>
                  </w:pPr>
                  <w:r>
                    <w:t xml:space="preserve">0.0106</w:t>
                  </w:r>
                </w:p>
              </w:tc>
              <w:tc>
                <w:tcPr/>
                <w:p>
                  <w:pPr>
                    <w:pStyle w:val="Compact"/>
                    <w:jc w:val="left"/>
                    <w:jc w:val="center"/>
                  </w:pPr>
                  <w:r>
                    <w:t xml:space="preserve">16.86</w:t>
                  </w:r>
                </w:p>
              </w:tc>
              <w:tc>
                <w:tcPr/>
                <w:p>
                  <w:pPr>
                    <w:pStyle w:val="Compact"/>
                    <w:jc w:val="left"/>
                    <w:jc w:val="center"/>
                  </w:pPr>
                  <w:r>
                    <w:t xml:space="preserve">17.38</w:t>
                  </w:r>
                </w:p>
              </w:tc>
              <w:tc>
                <w:tcPr/>
                <w:p>
                  <w:pPr>
                    <w:pStyle w:val="Compact"/>
                    <w:jc w:val="left"/>
                    <w:jc w:val="center"/>
                  </w:pPr>
                  <w:r>
                    <w:t xml:space="preserve">13,765</w:t>
                  </w:r>
                </w:p>
              </w:tc>
            </w:tr>
            <w:tr>
              <w:tc>
                <w:tcPr/>
                <w:p>
                  <w:pPr>
                    <w:pStyle w:val="Compact"/>
                    <w:jc w:val="left"/>
                    <w:jc w:val="center"/>
                  </w:pPr>
                  <w:r>
                    <w:t xml:space="preserve">Chaco</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0.5185 [0.514 - 0.523]</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9.29</w:t>
                  </w:r>
                </w:p>
              </w:tc>
              <w:tc>
                <w:tcPr/>
                <w:p>
                  <w:pPr>
                    <w:pStyle w:val="Compact"/>
                    <w:jc w:val="left"/>
                    <w:jc w:val="center"/>
                  </w:pPr>
                  <w:r>
                    <w:t xml:space="preserve">96.08</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0.5386 [0.534 - 0.543]</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11.60</w:t>
                  </w:r>
                </w:p>
              </w:tc>
              <w:tc>
                <w:tcPr/>
                <w:p>
                  <w:pPr>
                    <w:pStyle w:val="Compact"/>
                    <w:jc w:val="left"/>
                    <w:jc w:val="center"/>
                  </w:pPr>
                  <w:r>
                    <w:t xml:space="preserve">13.00</w:t>
                  </w:r>
                </w:p>
              </w:tc>
              <w:tc>
                <w:tcPr/>
                <w:p>
                  <w:pPr>
                    <w:pStyle w:val="Compact"/>
                    <w:jc w:val="left"/>
                    <w:jc w:val="center"/>
                  </w:pPr>
                  <w:r>
                    <w:t xml:space="preserve">15,910</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0.7485 [0.745 - 0.752]</w:t>
                  </w:r>
                </w:p>
              </w:tc>
              <w:tc>
                <w:tcPr/>
                <w:p>
                  <w:pPr>
                    <w:pStyle w:val="Compact"/>
                    <w:jc w:val="left"/>
                    <w:jc w:val="center"/>
                  </w:pPr>
                  <w:r>
                    <w:t xml:space="preserve">0.2318</w:t>
                  </w:r>
                </w:p>
              </w:tc>
              <w:tc>
                <w:tcPr/>
                <w:p>
                  <w:pPr>
                    <w:pStyle w:val="Compact"/>
                    <w:jc w:val="left"/>
                    <w:jc w:val="center"/>
                  </w:pPr>
                  <w:r>
                    <w:t xml:space="preserve">0.0766</w:t>
                  </w:r>
                </w:p>
              </w:tc>
              <w:tc>
                <w:tcPr/>
                <w:p>
                  <w:pPr>
                    <w:pStyle w:val="Compact"/>
                    <w:jc w:val="left"/>
                    <w:jc w:val="center"/>
                  </w:pPr>
                  <w:r>
                    <w:t xml:space="preserve">0.0735</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8,789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0.7340 [0.731 - 0.738]</w:t>
                  </w:r>
                </w:p>
              </w:tc>
              <w:tc>
                <w:tcPr/>
                <w:p>
                  <w:pPr>
                    <w:pStyle w:val="Compact"/>
                    <w:jc w:val="left"/>
                    <w:jc w:val="center"/>
                  </w:pPr>
                  <w:r>
                    <w:t xml:space="preserve">0.2044</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0.0053</w:t>
                  </w:r>
                </w:p>
              </w:tc>
              <w:tc>
                <w:tcPr/>
                <w:p>
                  <w:pPr>
                    <w:pStyle w:val="Compact"/>
                    <w:jc w:val="left"/>
                    <w:jc w:val="center"/>
                  </w:pPr>
                  <w:r>
                    <w:t xml:space="preserve">23.91</w:t>
                  </w:r>
                </w:p>
              </w:tc>
              <w:tc>
                <w:tcPr/>
                <w:p>
                  <w:pPr>
                    <w:pStyle w:val="Compact"/>
                    <w:jc w:val="left"/>
                    <w:jc w:val="center"/>
                  </w:pPr>
                  <w:r>
                    <w:t xml:space="preserve">24.24</w:t>
                  </w:r>
                </w:p>
              </w:tc>
              <w:tc>
                <w:tcPr/>
                <w:p>
                  <w:pPr>
                    <w:pStyle w:val="Compact"/>
                    <w:jc w:val="left"/>
                    <w:jc w:val="center"/>
                  </w:pPr>
                  <w:r>
                    <w:t xml:space="preserve">14,021</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0.6421 [0.638 - 0.646]</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0.0031</w:t>
                  </w:r>
                </w:p>
              </w:tc>
              <w:tc>
                <w:tcPr/>
                <w:p>
                  <w:pPr>
                    <w:pStyle w:val="Compact"/>
                    <w:jc w:val="left"/>
                    <w:jc w:val="center"/>
                  </w:pPr>
                  <w:r>
                    <w:t xml:space="preserve">16.46</w:t>
                  </w:r>
                </w:p>
              </w:tc>
              <w:tc>
                <w:tcPr/>
                <w:p>
                  <w:pPr>
                    <w:pStyle w:val="Compact"/>
                    <w:jc w:val="left"/>
                    <w:jc w:val="center"/>
                  </w:pPr>
                  <w:r>
                    <w:t xml:space="preserve">21.86</w:t>
                  </w:r>
                </w:p>
              </w:tc>
              <w:tc>
                <w:tcPr/>
                <w:p>
                  <w:pPr>
                    <w:pStyle w:val="Compact"/>
                    <w:jc w:val="left"/>
                    <w:jc w:val="center"/>
                  </w:pPr>
                  <w:r>
                    <w:t xml:space="preserve">20,165</w:t>
                  </w:r>
                </w:p>
              </w:tc>
            </w:tr>
            <w:tr>
              <w:tc>
                <w:tcPr/>
                <w:p>
                  <w:pPr>
                    <w:pStyle w:val="Compact"/>
                    <w:jc w:val="left"/>
                    <w:jc w:val="center"/>
                  </w:pPr>
                  <w:r>
                    <w:t xml:space="preserve">Oriental</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0.5569 [0.553 - 0.561]</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10.98</w:t>
                  </w:r>
                </w:p>
              </w:tc>
              <w:tc>
                <w:tcPr/>
                <w:p>
                  <w:pPr>
                    <w:pStyle w:val="Compact"/>
                    <w:jc w:val="left"/>
                    <w:jc w:val="center"/>
                  </w:pPr>
                  <w:r>
                    <w:t xml:space="preserve">35.74</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0.4994 [0.495 - 0.504]</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9.24</w:t>
                  </w:r>
                </w:p>
              </w:tc>
              <w:tc>
                <w:tcPr/>
                <w:p>
                  <w:pPr>
                    <w:pStyle w:val="Compact"/>
                    <w:jc w:val="left"/>
                    <w:jc w:val="center"/>
                  </w:pPr>
                  <w:r>
                    <w:t xml:space="preserve">79.79</w:t>
                  </w:r>
                </w:p>
              </w:tc>
              <w:tc>
                <w:tcPr/>
                <w:p>
                  <w:pPr>
                    <w:pStyle w:val="Compact"/>
                    <w:jc w:val="left"/>
                    <w:jc w:val="center"/>
                  </w:pPr>
                  <w:r>
                    <w:t xml:space="preserve">142,453</w:t>
                  </w:r>
                </w:p>
              </w:tc>
            </w:tr>
          </w:tbl>
          <w:bookmarkEnd w:id="61"/>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6286</m:t>
        </m:r>
      </m:oMath>
      <w:r>
        <w:t xml:space="preserve"> </w:t>
      </w:r>
      <w:r>
        <w:t xml:space="preserve">vs. </w:t>
      </w:r>
      <m:oMath>
        <m:r>
          <m:t>0</m:t>
        </m:r>
        <m:r>
          <m:rPr>
            <m:sty m:val="p"/>
          </m:rPr>
          <m:t>,</m:t>
        </m:r>
        <m:r>
          <m:t>5185</m:t>
        </m:r>
      </m:oMath>
      <w:r>
        <w:t xml:space="preserve"> </w:t>
      </w:r>
      <w:r>
        <w:t xml:space="preserve">y</w:t>
      </w:r>
      <w:r>
        <w:t xml:space="preserve"> </w:t>
      </w:r>
      <m:oMath>
        <m:r>
          <m:t>0</m:t>
        </m:r>
        <m:r>
          <m:rPr>
            <m:sty m:val="p"/>
          </m:rPr>
          <m:t>,</m:t>
        </m:r>
        <m:r>
          <m:t>5386</m:t>
        </m:r>
      </m:oMath>
      <w:r>
        <w:t xml:space="preserve">;</w:t>
      </w:r>
      <w:r>
        <w:t xml:space="preserve"> </w:t>
      </w:r>
      <m:oMath>
        <m:r>
          <m:rPr>
            <m:nor/>
            <m:sty m:val="p"/>
          </m:rPr>
          <m:t>PR-AUC</m:t>
        </m:r>
        <m:r>
          <m:rPr>
            <m:sty m:val="p"/>
          </m:rPr>
          <m:t>=</m:t>
        </m:r>
        <m:r>
          <m:t>0</m:t>
        </m:r>
        <m:r>
          <m:rPr>
            <m:sty m:val="p"/>
          </m:rPr>
          <m:t>,</m:t>
        </m:r>
        <m:r>
          <m:t>1511</m:t>
        </m:r>
      </m:oMath>
      <w:r>
        <w:t xml:space="preserve"> </w:t>
      </w:r>
      <w:r>
        <w:t xml:space="preserve">vs. </w:t>
      </w:r>
      <m:oMath>
        <m:r>
          <m:t>0</m:t>
        </m:r>
        <m:r>
          <m:rPr>
            <m:sty m:val="p"/>
          </m:rPr>
          <m:t>,</m:t>
        </m:r>
        <m:r>
          <m:t>0931</m:t>
        </m:r>
      </m:oMath>
      <w:r>
        <w:t xml:space="preserve">), reduciendo las falsas alarmas case-control en un</w:t>
      </w:r>
      <w:r>
        <w:t xml:space="preserve"> </w:t>
      </w:r>
      <m:oMath>
        <m:r>
          <m:t>78</m:t>
        </m:r>
        <m:r>
          <m:rPr>
            <m:nor/>
            <m:sty m:val="p"/>
          </m:rPr>
          <m:t> %</m:t>
        </m:r>
      </m:oMath>
      <w:r>
        <w:t xml:space="preserve"> </w:t>
      </w:r>
      <w:r>
        <w:t xml:space="preserve">respecto al FWI (</w:t>
      </w:r>
      <m:oMath>
        <m:r>
          <m:t>31.686</m:t>
        </m:r>
      </m:oMath>
      <w:r>
        <w:t xml:space="preserve"> </w:t>
      </w:r>
      <w:r>
        <w:t xml:space="preserve">vs. </w:t>
      </w:r>
      <m:oMath>
        <m:r>
          <m:t>142.912</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6286</m:t>
        </m:r>
        <m:r>
          <m:rPr>
            <m:sty m:val="p"/>
          </m:rPr>
          <m:t>→</m:t>
        </m:r>
        <m:r>
          <m:rPr>
            <m:sty m:val="b"/>
          </m:rPr>
          <m:t>0</m:t>
        </m:r>
        <m:r>
          <m:rPr>
            <m:sty m:val="b"/>
          </m:rPr>
          <m:t>,</m:t>
        </m:r>
        <m:r>
          <m:rPr>
            <m:sty m:val="b"/>
          </m:rPr>
          <m:t>7851</m:t>
        </m:r>
      </m:oMath>
      <w:r>
        <w:t xml:space="preserve"> </w:t>
      </w:r>
      <w:r>
        <w:t xml:space="preserve">en el Chaco (</w:t>
      </w:r>
      <m:oMath>
        <m:r>
          <m:rPr>
            <m:sty m:val="p"/>
          </m:rPr>
          <m:t>Δ</m:t>
        </m:r>
        <m:r>
          <m:rPr>
            <m:nor/>
            <m:sty m:val="p"/>
          </m:rPr>
          <m:t>ROC</m:t>
        </m:r>
        <m:r>
          <m:rPr>
            <m:sty m:val="p"/>
          </m:rPr>
          <m:t>=</m:t>
        </m:r>
        <m:r>
          <m:rPr>
            <m:sty m:val="p"/>
          </m:rPr>
          <m:t>+</m:t>
        </m:r>
        <m:r>
          <m:t>0</m:t>
        </m:r>
        <m:r>
          <m:rPr>
            <m:sty m:val="p"/>
          </m:rPr>
          <m:t>,</m:t>
        </m:r>
        <m:r>
          <m:t>1566</m:t>
        </m:r>
      </m:oMath>
      <w:r>
        <w:t xml:space="preserve">; PR-AUC</w:t>
      </w:r>
      <w:r>
        <w:t xml:space="preserve"> </w:t>
      </w:r>
      <m:oMath>
        <m:r>
          <m:t>0</m:t>
        </m:r>
        <m:r>
          <m:rPr>
            <m:sty m:val="p"/>
          </m:rPr>
          <m:t>,</m:t>
        </m:r>
        <m:r>
          <m:t>1511</m:t>
        </m:r>
        <m:r>
          <m:rPr>
            <m:sty m:val="p"/>
          </m:rPr>
          <m:t>→</m:t>
        </m:r>
        <m:r>
          <m:rPr>
            <m:sty m:val="b"/>
          </m:rPr>
          <m:t>0</m:t>
        </m:r>
        <m:r>
          <m:rPr>
            <m:sty m:val="b"/>
          </m:rPr>
          <m:t>,</m:t>
        </m:r>
        <m:r>
          <m:rPr>
            <m:sty m:val="b"/>
          </m:rPr>
          <m:t>2410</m:t>
        </m:r>
      </m:oMath>
      <w:r>
        <w:t xml:space="preserve">) y de</w:t>
      </w:r>
      <w:r>
        <w:t xml:space="preserve"> </w:t>
      </w:r>
      <m:oMath>
        <m:r>
          <m:t>0</m:t>
        </m:r>
        <m:r>
          <m:rPr>
            <m:sty m:val="p"/>
          </m:rPr>
          <m:t>,</m:t>
        </m:r>
        <m:r>
          <m:t>6422</m:t>
        </m:r>
        <m:r>
          <m:rPr>
            <m:sty m:val="p"/>
          </m:rPr>
          <m:t>→</m:t>
        </m:r>
        <m:r>
          <m:rPr>
            <m:sty m:val="b"/>
          </m:rPr>
          <m:t>0</m:t>
        </m:r>
        <m:r>
          <m:rPr>
            <m:sty m:val="b"/>
          </m:rPr>
          <m:t>,</m:t>
        </m:r>
        <m:r>
          <m:rPr>
            <m:sty m:val="b"/>
          </m:rPr>
          <m:t>7485</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1058</m:t>
        </m:r>
      </m:oMath>
      <w:r>
        <w:t xml:space="preserve">; PR-AUC</w:t>
      </w:r>
      <w:r>
        <w:t xml:space="preserve"> </w:t>
      </w:r>
      <m:oMath>
        <m:r>
          <m:t>0</m:t>
        </m:r>
        <m:r>
          <m:rPr>
            <m:sty m:val="p"/>
          </m:rPr>
          <m:t>,</m:t>
        </m:r>
        <m:r>
          <m:t>1422</m:t>
        </m:r>
        <m:r>
          <m:rPr>
            <m:sty m:val="p"/>
          </m:rPr>
          <m:t>→</m:t>
        </m:r>
        <m:r>
          <m:rPr>
            <m:sty m:val="b"/>
          </m:rPr>
          <m:t>0</m:t>
        </m:r>
        <m:r>
          <m:rPr>
            <m:sty m:val="b"/>
          </m:rPr>
          <m:t>,</m:t>
        </m:r>
        <m:r>
          <m:rPr>
            <m:sty m:val="b"/>
          </m:rPr>
          <m:t>2318</m:t>
        </m:r>
      </m:oMath>
      <w:r>
        <w:t xml:space="preserve">). Respecto a</w:t>
      </w:r>
      <w:r>
        <w:t xml:space="preserve"> </w:t>
      </w:r>
      <m:oMath>
        <m:sSub>
          <m:e>
            <m:r>
              <m:rPr>
                <m:scr m:val="script"/>
                <m:sty m:val="p"/>
              </m:rPr>
              <m:t>M</m:t>
            </m:r>
          </m:e>
          <m:sub>
            <m:r>
              <m:t>2</m:t>
            </m:r>
          </m:sub>
        </m:sSub>
      </m:oMath>
      <w:r>
        <w:t xml:space="preserve"> </w:t>
      </w:r>
      <w:r>
        <w:t xml:space="preserve">(misma capacidad),</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31</m:t>
        </m:r>
      </m:oMath>
      <w:r>
        <w:t xml:space="preserve"> </w:t>
      </w:r>
      <w:r>
        <w:t xml:space="preserve">puntos en el Chaco (</w:t>
      </w:r>
      <m:oMath>
        <m:r>
          <m:t>23</m:t>
        </m:r>
        <m:r>
          <m:rPr>
            <m:sty m:val="p"/>
          </m:rPr>
          <m:t>,</m:t>
        </m:r>
        <m:r>
          <m:t>21</m:t>
        </m:r>
        <m:r>
          <m:rPr>
            <m:sty m:val="p"/>
          </m:rPr>
          <m:t>→</m:t>
        </m:r>
        <m:r>
          <m:rPr>
            <m:sty m:val="b"/>
          </m:rPr>
          <m:t>27</m:t>
        </m:r>
        <m:r>
          <m:rPr>
            <m:sty m:val="b"/>
          </m:rPr>
          <m:t>,</m:t>
        </m:r>
        <m:r>
          <m:rPr>
            <m:sty m:val="b"/>
          </m:rPr>
          <m:t>54</m:t>
        </m:r>
      </m:oMath>
      <w:r>
        <w:t xml:space="preserve">) y</w:t>
      </w:r>
      <w:r>
        <w:t xml:space="preserve"> </w:t>
      </w:r>
      <m:oMath>
        <m:r>
          <m:rPr>
            <m:sty m:val="p"/>
          </m:rPr>
          <m:t>+</m:t>
        </m:r>
        <m:r>
          <m:t>5</m:t>
        </m:r>
        <m:r>
          <m:rPr>
            <m:sty m:val="p"/>
          </m:rPr>
          <m:t>,</m:t>
        </m:r>
        <m:r>
          <m:t>05</m:t>
        </m:r>
      </m:oMath>
      <w:r>
        <w:t xml:space="preserve"> </w:t>
      </w:r>
      <w:r>
        <w:t xml:space="preserve">puntos en Oriental (</w:t>
      </w:r>
      <m:oMath>
        <m:r>
          <m:t>24</m:t>
        </m:r>
        <m:r>
          <m:rPr>
            <m:sty m:val="p"/>
          </m:rPr>
          <m:t>,</m:t>
        </m:r>
        <m:r>
          <m:t>62</m:t>
        </m:r>
        <m:r>
          <m:rPr>
            <m:sty m:val="p"/>
          </m:rPr>
          <m:t>→</m:t>
        </m:r>
        <m:r>
          <m:rPr>
            <m:sty m:val="b"/>
          </m:rPr>
          <m:t>29</m:t>
        </m:r>
        <m:r>
          <m:rPr>
            <m:sty m:val="b"/>
          </m:rPr>
          <m:t>,</m:t>
        </m:r>
        <m:r>
          <m:rPr>
            <m:sty m:val="b"/>
          </m:rPr>
          <m:t>67</m:t>
        </m:r>
      </m:oMath>
      <w:r>
        <w:t xml:space="preserve">), con</w:t>
      </w:r>
      <w:r>
        <w:t xml:space="preserve"> </w:t>
      </w:r>
      <m:oMath>
        <m:r>
          <m:t>13.003</m:t>
        </m:r>
      </m:oMath>
      <w:r>
        <w:t xml:space="preserve"> </w:t>
      </w:r>
      <w:r>
        <w:t xml:space="preserve">falsos positivos menos en total (</w:t>
      </w:r>
      <m:oMath>
        <m:r>
          <m:t>7.771</m:t>
        </m:r>
      </m:oMath>
      <w:r>
        <w:t xml:space="preserve"> </w:t>
      </w:r>
      <w:r>
        <w:t xml:space="preserve">Chaco y</w:t>
      </w:r>
      <w:r>
        <w:t xml:space="preserve"> </w:t>
      </w:r>
      <m:oMath>
        <m:r>
          <m:t>5.232</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5" w:name="fig-ablacion-hibrido"/>
          <w:p>
            <w:pPr>
              <w:pStyle w:val="Compact"/>
              <w:jc w:val="center"/>
            </w:pPr>
            <w:r>
              <w:drawing>
                <wp:inline>
                  <wp:extent cx="5334000" cy="4191000"/>
                  <wp:effectExtent b="0" l="0" r="0" t="0"/>
                  <wp:docPr descr="" title="" id="63" name="Picture"/>
                  <a:graphic>
                    <a:graphicData uri="http://schemas.openxmlformats.org/drawingml/2006/picture">
                      <pic:pic>
                        <pic:nvPicPr>
                          <pic:cNvPr descr="figuras/fig07_ablacion_biofisico_vs_hibrido.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completo y INPE Risco de Fogo).</w:t>
            </w:r>
          </w:p>
          <w:bookmarkEnd w:id="65"/>
        </w:tc>
      </w:tr>
    </w:tbl>
    <w:bookmarkEnd w:id="66"/>
    <w:bookmarkEnd w:id="67"/>
    <w:bookmarkStart w:id="73"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7</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8" w:name="tbl-shap"/>
          <w:p>
            <w:pPr>
              <w:jc w:val="center"/>
            </w:pPr>
            <w:pPr>
              <w:jc w:val="left"/>
              <w:spacing w:before="200"/>
              <w:pStyle w:val="ImageCaption"/>
            </w:pPr>
            <w:r>
              <w:t xml:space="preserve">Tabla 7: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[0.468]</w:t>
                  </w:r>
                </w:p>
              </w:tc>
              <w:tc>
                <w:tcPr/>
                <w:p>
                  <w:pPr>
                    <w:pStyle w:val="Compact"/>
                    <w:jc w:val="left"/>
                    <w:jc w:val="center"/>
                  </w:pPr>
                  <w:r>
                    <w:t xml:space="preserve">dist_foco_hist_km [0.284]</w:t>
                  </w:r>
                </w:p>
              </w:tc>
            </w:tr>
            <w:tr>
              <w:tc>
                <w:tcPr/>
                <w:p>
                  <w:pPr>
                    <w:pStyle w:val="Compact"/>
                    <w:jc w:val="left"/>
                    <w:jc w:val="center"/>
                  </w:pPr>
                  <w:r>
                    <w:rPr>
                      <w:b/>
                      <w:bCs/>
                    </w:rPr>
                    <w:t xml:space="preserve">2</w:t>
                  </w:r>
                </w:p>
              </w:tc>
              <w:tc>
                <w:tcPr/>
                <w:p>
                  <w:pPr>
                    <w:pStyle w:val="Compact"/>
                    <w:jc w:val="left"/>
                    <w:jc w:val="center"/>
                  </w:pPr>
                  <w:r>
                    <w:t xml:space="preserve">pct_bosque_seco [0.188]</w:t>
                  </w:r>
                </w:p>
              </w:tc>
              <w:tc>
                <w:tcPr/>
                <w:p>
                  <w:pPr>
                    <w:pStyle w:val="Compact"/>
                    <w:jc w:val="left"/>
                    <w:jc w:val="center"/>
                  </w:pPr>
                  <w:r>
                    <w:t xml:space="preserve">focalizacion_antropica_local [0.220]</w:t>
                  </w:r>
                </w:p>
              </w:tc>
            </w:tr>
            <w:tr>
              <w:tc>
                <w:tcPr/>
                <w:p>
                  <w:pPr>
                    <w:pStyle w:val="Compact"/>
                    <w:jc w:val="left"/>
                    <w:jc w:val="center"/>
                  </w:pPr>
                  <w:r>
                    <w:rPr>
                      <w:b/>
                      <w:bCs/>
                    </w:rPr>
                    <w:t xml:space="preserve">3</w:t>
                  </w:r>
                </w:p>
              </w:tc>
              <w:tc>
                <w:tcPr/>
                <w:p>
                  <w:pPr>
                    <w:pStyle w:val="Compact"/>
                    <w:jc w:val="left"/>
                    <w:jc w:val="center"/>
                  </w:pPr>
                  <w:r>
                    <w:t xml:space="preserve">dist_corredor_antropico_km [0.080]</w:t>
                  </w:r>
                </w:p>
              </w:tc>
              <w:tc>
                <w:tcPr/>
                <w:p>
                  <w:pPr>
                    <w:pStyle w:val="Compact"/>
                    <w:jc w:val="left"/>
                    <w:jc w:val="center"/>
                  </w:pPr>
                  <w:r>
                    <w:t xml:space="preserve">dist_corredor_antropico_km [0.119]</w:t>
                  </w:r>
                </w:p>
              </w:tc>
            </w:tr>
            <w:tr>
              <w:tc>
                <w:tcPr/>
                <w:p>
                  <w:pPr>
                    <w:pStyle w:val="Compact"/>
                    <w:jc w:val="left"/>
                    <w:jc w:val="center"/>
                  </w:pPr>
                  <w:r>
                    <w:rPr>
                      <w:b/>
                      <w:bCs/>
                    </w:rPr>
                    <w:t xml:space="preserve">4</w:t>
                  </w:r>
                </w:p>
              </w:tc>
              <w:tc>
                <w:tcPr/>
                <w:p>
                  <w:pPr>
                    <w:pStyle w:val="Compact"/>
                    <w:jc w:val="left"/>
                    <w:jc w:val="center"/>
                  </w:pPr>
                  <w:r>
                    <w:t xml:space="preserve">focalizacion_antropica_local [0.078]</w:t>
                  </w:r>
                </w:p>
              </w:tc>
              <w:tc>
                <w:tcPr/>
                <w:p>
                  <w:pPr>
                    <w:pStyle w:val="Compact"/>
                    <w:jc w:val="left"/>
                    <w:jc w:val="center"/>
                  </w:pPr>
                  <w:r>
                    <w:t xml:space="preserve">pct_humedal_palmar [0.090]</w:t>
                  </w:r>
                </w:p>
              </w:tc>
            </w:tr>
            <w:tr>
              <w:tc>
                <w:tcPr/>
                <w:p>
                  <w:pPr>
                    <w:pStyle w:val="Compact"/>
                    <w:jc w:val="left"/>
                    <w:jc w:val="center"/>
                  </w:pPr>
                  <w:r>
                    <w:rPr>
                      <w:b/>
                      <w:bCs/>
                    </w:rPr>
                    <w:t xml:space="preserve">5</w:t>
                  </w:r>
                </w:p>
              </w:tc>
              <w:tc>
                <w:tcPr/>
                <w:p>
                  <w:pPr>
                    <w:pStyle w:val="Compact"/>
                    <w:jc w:val="left"/>
                    <w:jc w:val="center"/>
                  </w:pPr>
                  <w:r>
                    <w:t xml:space="preserve">pct_pastura [0.034]</w:t>
                  </w:r>
                </w:p>
              </w:tc>
              <w:tc>
                <w:tcPr/>
                <w:p>
                  <w:pPr>
                    <w:pStyle w:val="Compact"/>
                    <w:jc w:val="left"/>
                    <w:jc w:val="center"/>
                  </w:pPr>
                  <w:r>
                    <w:t xml:space="preserve">freq_hist_1km [0.064]</w:t>
                  </w:r>
                </w:p>
              </w:tc>
            </w:tr>
            <w:tr>
              <w:tc>
                <w:tcPr/>
                <w:p>
                  <w:pPr>
                    <w:pStyle w:val="Compact"/>
                    <w:jc w:val="left"/>
                    <w:jc w:val="center"/>
                  </w:pPr>
                  <w:r>
                    <w:rPr>
                      <w:b/>
                      <w:bCs/>
                    </w:rPr>
                    <w:t xml:space="preserve">6</w:t>
                  </w:r>
                </w:p>
              </w:tc>
              <w:tc>
                <w:tcPr/>
                <w:p>
                  <w:pPr>
                    <w:pStyle w:val="Compact"/>
                    <w:jc w:val="left"/>
                    <w:jc w:val="center"/>
                  </w:pPr>
                  <w:r>
                    <w:t xml:space="preserve">doy_cos [0.033]</w:t>
                  </w:r>
                </w:p>
              </w:tc>
              <w:tc>
                <w:tcPr/>
                <w:p>
                  <w:pPr>
                    <w:pStyle w:val="Compact"/>
                    <w:jc w:val="left"/>
                    <w:jc w:val="center"/>
                  </w:pPr>
                  <w:r>
                    <w:t xml:space="preserve">pct_sabana_pastizal [0.061]</w:t>
                  </w:r>
                </w:p>
              </w:tc>
            </w:tr>
          </w:tbl>
          <w:bookmarkEnd w:id="68"/>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2" w:name="fig-shap"/>
          <w:p>
            <w:pPr>
              <w:pStyle w:val="Compact"/>
              <w:jc w:val="center"/>
            </w:pPr>
            <w:r>
              <w:drawing>
                <wp:inline>
                  <wp:extent cx="5334000" cy="2333624"/>
                  <wp:effectExtent b="0" l="0" r="0" t="0"/>
                  <wp:docPr descr="" title="" id="70" name="Picture"/>
                  <a:graphic>
                    <a:graphicData uri="http://schemas.openxmlformats.org/drawingml/2006/picture">
                      <pic:pic>
                        <pic:nvPicPr>
                          <pic:cNvPr descr="figuras/fig04_shap_comparativa_chaco_vs_oriental.png" id="71" name="Picture"/>
                          <pic:cNvPicPr>
                            <a:picLocks noChangeArrowheads="1" noChangeAspect="1"/>
                          </pic:cNvPicPr>
                        </pic:nvPicPr>
                        <pic:blipFill>
                          <a:blip r:embed="rId69"/>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2"/>
        </w:tc>
      </w:tr>
    </w:tbl>
    <w:bookmarkEnd w:id="73"/>
    <w:bookmarkStart w:id="78"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268</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285</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016</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569</m:t>
        </m:r>
        <m:r>
          <m:rPr>
            <m:nor/>
            <m:sty m:val="p"/>
          </m:rPr>
          <m:t> s</m:t>
        </m:r>
      </m:oMath>
      <w:r>
        <w:t xml:space="preserve">.</w:t>
      </w:r>
      <w:r>
        <w:t xml:space="preserve"> </w:t>
      </w:r>
      <w:r>
        <w:t xml:space="preserve">-</w:t>
      </w:r>
      <w:r>
        <w:t xml:space="preserve"> </w:t>
      </w:r>
      <w:r>
        <w:rPr>
          <w:b/>
          <w:bCs/>
        </w:rPr>
        <w:t xml:space="preserve">RAM pico medida:</w:t>
      </w:r>
      <w:r>
        <w:t xml:space="preserve"> </w:t>
      </w:r>
      <m:oMath>
        <m:r>
          <m:t>2.182</m:t>
        </m:r>
        <m:r>
          <m:rPr>
            <m:sty m:val="p"/>
          </m:rPr>
          <m:t>,</m:t>
        </m:r>
        <m:r>
          <m:t>1</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mapa-operativo"/>
          <w:p>
            <w:pPr>
              <w:pStyle w:val="Compact"/>
              <w:jc w:val="center"/>
            </w:pPr>
            <w:r>
              <w:drawing>
                <wp:inline>
                  <wp:extent cx="4533900" cy="5037666"/>
                  <wp:effectExtent b="0" l="0" r="0" t="0"/>
                  <wp:docPr descr="" title="" id="75" name="Picture"/>
                  <a:graphic>
                    <a:graphicData uri="http://schemas.openxmlformats.org/drawingml/2006/picture">
                      <pic:pic>
                        <pic:nvPicPr>
                          <pic:cNvPr descr="figuras/fig03_mapa_riesgo_operativo_nacional.png" id="76" name="Picture"/>
                          <pic:cNvPicPr>
                            <a:picLocks noChangeArrowheads="1" noChangeAspect="1"/>
                          </pic:cNvPicPr>
                        </pic:nvPicPr>
                        <pic:blipFill>
                          <a:blip r:embed="rId7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7"/>
        </w:tc>
      </w:tr>
    </w:tbl>
    <w:p>
      <w:r>
        <w:pict>
          <v:rect style="width:0;height:1.5pt" o:hralign="center" o:hrstd="t" o:hr="t"/>
        </w:pict>
      </w:r>
    </w:p>
    <w:bookmarkEnd w:id="78"/>
    <w:bookmarkStart w:id="81"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tbl-espacial"/>
          <w:p>
            <w:pPr>
              <w:jc w:val="center"/>
            </w:pPr>
            <w:pPr>
              <w:jc w:val="left"/>
              <w:spacing w:before="200"/>
              <w:pStyle w:val="ImageCaption"/>
            </w:pPr>
            <w:r>
              <w:t xml:space="preserve">Tabla 8: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0.6346</w:t>
                  </w:r>
                </w:p>
              </w:tc>
              <w:tc>
                <w:tcPr/>
                <w:p>
                  <w:pPr>
                    <w:pStyle w:val="Compact"/>
                    <w:jc w:val="left"/>
                    <w:jc w:val="center"/>
                  </w:pPr>
                  <w:r>
                    <w:t xml:space="preserve">0.6201</w:t>
                  </w:r>
                </w:p>
              </w:tc>
              <w:tc>
                <w:tcPr/>
                <w:p>
                  <w:pPr>
                    <w:pStyle w:val="Compact"/>
                    <w:jc w:val="left"/>
                    <w:jc w:val="center"/>
                  </w:pPr>
                  <w:r>
                    <w:t xml:space="preserve">0.1614</w:t>
                  </w:r>
                </w:p>
              </w:tc>
              <w:tc>
                <w:tcPr/>
                <w:p>
                  <w:pPr>
                    <w:pStyle w:val="Compact"/>
                    <w:jc w:val="left"/>
                    <w:jc w:val="center"/>
                  </w:pPr>
                  <w:r>
                    <w:t xml:space="preserve">0.1456</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0.6331</w:t>
                  </w:r>
                </w:p>
              </w:tc>
              <w:tc>
                <w:tcPr/>
                <w:p>
                  <w:pPr>
                    <w:pStyle w:val="Compact"/>
                    <w:jc w:val="left"/>
                    <w:jc w:val="center"/>
                  </w:pPr>
                  <w:r>
                    <w:t xml:space="preserve">0.7825</w:t>
                  </w:r>
                </w:p>
              </w:tc>
              <w:tc>
                <w:tcPr/>
                <w:p>
                  <w:pPr>
                    <w:pStyle w:val="Compact"/>
                    <w:jc w:val="left"/>
                    <w:jc w:val="center"/>
                  </w:pPr>
                  <w:r>
                    <w:t xml:space="preserve">0.1427</w:t>
                  </w:r>
                </w:p>
              </w:tc>
              <w:tc>
                <w:tcPr/>
                <w:p>
                  <w:pPr>
                    <w:pStyle w:val="Compact"/>
                    <w:jc w:val="left"/>
                    <w:jc w:val="center"/>
                  </w:pPr>
                  <w:r>
                    <w:t xml:space="preserve">0.2247</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0.6246</w:t>
                  </w:r>
                </w:p>
              </w:tc>
              <w:tc>
                <w:tcPr/>
                <w:p>
                  <w:pPr>
                    <w:pStyle w:val="Compact"/>
                    <w:jc w:val="left"/>
                    <w:jc w:val="center"/>
                  </w:pPr>
                  <w:r>
                    <w:t xml:space="preserve">0.7912</w:t>
                  </w:r>
                </w:p>
              </w:tc>
              <w:tc>
                <w:tcPr/>
                <w:p>
                  <w:pPr>
                    <w:pStyle w:val="Compact"/>
                    <w:jc w:val="left"/>
                    <w:jc w:val="center"/>
                  </w:pPr>
                  <w:r>
                    <w:t xml:space="preserve">0.1408</w:t>
                  </w:r>
                </w:p>
              </w:tc>
              <w:tc>
                <w:tcPr/>
                <w:p>
                  <w:pPr>
                    <w:pStyle w:val="Compact"/>
                    <w:jc w:val="left"/>
                    <w:jc w:val="center"/>
                  </w:pPr>
                  <w:r>
                    <w:t xml:space="preserve">0.2489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0.6195</w:t>
                  </w:r>
                </w:p>
              </w:tc>
              <w:tc>
                <w:tcPr/>
                <w:p>
                  <w:pPr>
                    <w:pStyle w:val="Compact"/>
                    <w:jc w:val="left"/>
                    <w:jc w:val="center"/>
                  </w:pPr>
                  <w:r>
                    <w:t xml:space="preserve">0.6334</w:t>
                  </w:r>
                </w:p>
              </w:tc>
              <w:tc>
                <w:tcPr/>
                <w:p>
                  <w:pPr>
                    <w:pStyle w:val="Compact"/>
                    <w:jc w:val="left"/>
                    <w:jc w:val="center"/>
                  </w:pPr>
                  <w:r>
                    <w:t xml:space="preserve">0.1106</w:t>
                  </w:r>
                </w:p>
              </w:tc>
              <w:tc>
                <w:tcPr/>
                <w:p>
                  <w:pPr>
                    <w:pStyle w:val="Compact"/>
                    <w:jc w:val="left"/>
                    <w:jc w:val="center"/>
                  </w:pPr>
                  <w:r>
                    <w:t xml:space="preserve">0.1486</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0.5999</w:t>
                  </w:r>
                </w:p>
              </w:tc>
              <w:tc>
                <w:tcPr/>
                <w:p>
                  <w:pPr>
                    <w:pStyle w:val="Compact"/>
                    <w:jc w:val="left"/>
                    <w:jc w:val="center"/>
                  </w:pPr>
                  <w:r>
                    <w:t xml:space="preserve">0.7237</w:t>
                  </w:r>
                </w:p>
              </w:tc>
              <w:tc>
                <w:tcPr/>
                <w:p>
                  <w:pPr>
                    <w:pStyle w:val="Compact"/>
                    <w:jc w:val="left"/>
                    <w:jc w:val="center"/>
                  </w:pPr>
                  <w:r>
                    <w:t xml:space="preserve">0.1106</w:t>
                  </w:r>
                </w:p>
              </w:tc>
              <w:tc>
                <w:tcPr/>
                <w:p>
                  <w:pPr>
                    <w:pStyle w:val="Compact"/>
                    <w:jc w:val="left"/>
                    <w:jc w:val="center"/>
                  </w:pPr>
                  <w:r>
                    <w:t xml:space="preserve">0.2079</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0.5721</w:t>
                  </w:r>
                </w:p>
              </w:tc>
              <w:tc>
                <w:tcPr/>
                <w:p>
                  <w:pPr>
                    <w:pStyle w:val="Compact"/>
                    <w:jc w:val="left"/>
                    <w:jc w:val="center"/>
                  </w:pPr>
                  <w:r>
                    <w:t xml:space="preserve">0.7338</w:t>
                  </w:r>
                </w:p>
              </w:tc>
              <w:tc>
                <w:tcPr/>
                <w:p>
                  <w:pPr>
                    <w:pStyle w:val="Compact"/>
                    <w:jc w:val="left"/>
                    <w:jc w:val="center"/>
                  </w:pPr>
                  <w:r>
                    <w:t xml:space="preserve">0.0988</w:t>
                  </w:r>
                </w:p>
              </w:tc>
              <w:tc>
                <w:tcPr/>
                <w:p>
                  <w:pPr>
                    <w:pStyle w:val="Compact"/>
                    <w:jc w:val="left"/>
                    <w:jc w:val="center"/>
                  </w:pPr>
                  <w:r>
                    <w:t xml:space="preserve">0.2310</w:t>
                  </w:r>
                </w:p>
              </w:tc>
            </w:tr>
          </w:tbl>
          <w:bookmarkEnd w:id="79"/>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0,6246 (Chaco) y 0,5721 (Oriental), mientras que M1 —sin priors de fuego— obtiene 0,6346 y 0,6195. La ganancia de M3 en celdas con historia de fuego (0,7912/0,7338)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bookmarkStart w:id="80" w:name="por-qué-m3-se-usa-en-la-alerta"/>
    <w:p>
      <w:pPr>
        <w:pStyle w:val="Heading3"/>
      </w:pPr>
      <w:r>
        <w:t xml:space="preserve">5.5.1 5.5.1 Por qué M3 se usa en la alerta</w:t>
      </w:r>
    </w:p>
    <w:p>
      <w:pPr>
        <w:pStyle w:val="FirstParagraph"/>
      </w:pPr>
      <w:r>
        <w:t xml:space="preserve">La alerta operativa es un</w:t>
      </w:r>
      <w:r>
        <w:t xml:space="preserve"> </w:t>
      </w:r>
      <w:r>
        <w:rPr>
          <w:b/>
          <w:bCs/>
        </w:rPr>
        <w:t xml:space="preserve">nowcast sobre celdas con historia de fuego</w:t>
      </w:r>
      <w:r>
        <w:t xml:space="preserve">, no un modelo de extrapolación a paisajes nuevos. El 90,94 % de las celdas de test ya estaban presentes en train, y la ventaja de M3 se concentra en la recurrencia espacial. Por eso M3 se usa para priorizar celdas ya conocidas por el sistema; para celdas sin historia de fuego debe preferirse M1 o marcar el resultado como fuera de dominio.</w:t>
      </w:r>
    </w:p>
    <w:p>
      <w:pPr>
        <w:pStyle w:val="BodyText"/>
      </w:pPr>
      <w:r>
        <w:t xml:space="preserve">El servicio actual no implementa todavía un</w:t>
      </w:r>
      <w:r>
        <w:t xml:space="preserve"> </w:t>
      </w:r>
      <w:r>
        <w:rPr>
          <w:i/>
          <w:iCs/>
        </w:rPr>
        <w:t xml:space="preserve">fallback</w:t>
      </w:r>
      <w:r>
        <w:t xml:space="preserve"> </w:t>
      </w:r>
      <w:r>
        <w:t xml:space="preserve">automático a M1: usa M3 en todas las celdas activas. Esa es una limitación de ingeniería declarada, no una afirmación de transferibilidad espacial.</w:t>
      </w:r>
    </w:p>
    <w:p>
      <w:r>
        <w:pict>
          <v:rect style="width:0;height:1.5pt" o:hralign="center" o:hrstd="t" o:hr="t"/>
        </w:pict>
      </w:r>
    </w:p>
    <w:bookmarkEnd w:id="80"/>
    <w:bookmarkEnd w:id="81"/>
    <w:bookmarkStart w:id="83"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82" w:name="tbl-lead-time"/>
          <w:p>
            <w:pPr>
              <w:jc w:val="center"/>
            </w:pPr>
            <w:pPr>
              <w:jc w:val="left"/>
              <w:spacing w:before="200"/>
              <w:pStyle w:val="ImageCaption"/>
            </w:pPr>
            <w:r>
              <w:t xml:space="preserve">Tabla 9: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0.6221</w:t>
                  </w:r>
                </w:p>
              </w:tc>
              <w:tc>
                <w:tcPr/>
                <w:p>
                  <w:pPr>
                    <w:pStyle w:val="Compact"/>
                    <w:jc w:val="left"/>
                    <w:jc w:val="center"/>
                  </w:pPr>
                  <w:r>
                    <w:t xml:space="preserve">0.1475</w:t>
                  </w:r>
                </w:p>
              </w:tc>
              <w:tc>
                <w:tcPr/>
                <w:p>
                  <w:pPr>
                    <w:pStyle w:val="Compact"/>
                    <w:jc w:val="left"/>
                    <w:jc w:val="center"/>
                  </w:pPr>
                  <w:r>
                    <w:t xml:space="preserve">14.54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0.7834</w:t>
                  </w:r>
                </w:p>
              </w:tc>
              <w:tc>
                <w:tcPr/>
                <w:p>
                  <w:pPr>
                    <w:pStyle w:val="Compact"/>
                    <w:jc w:val="left"/>
                    <w:jc w:val="center"/>
                  </w:pPr>
                  <w:r>
                    <w:t xml:space="preserve">0.2373</w:t>
                  </w:r>
                </w:p>
              </w:tc>
              <w:tc>
                <w:tcPr/>
                <w:p>
                  <w:pPr>
                    <w:pStyle w:val="Compact"/>
                    <w:jc w:val="left"/>
                    <w:jc w:val="center"/>
                  </w:pPr>
                  <w:r>
                    <w:t xml:space="preserve">26.55</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0.6339</w:t>
                  </w:r>
                </w:p>
              </w:tc>
              <w:tc>
                <w:tcPr/>
                <w:p>
                  <w:pPr>
                    <w:pStyle w:val="Compact"/>
                    <w:jc w:val="left"/>
                    <w:jc w:val="center"/>
                  </w:pPr>
                  <w:r>
                    <w:t xml:space="preserve">0.1412</w:t>
                  </w:r>
                </w:p>
              </w:tc>
              <w:tc>
                <w:tcPr/>
                <w:p>
                  <w:pPr>
                    <w:pStyle w:val="Compact"/>
                    <w:jc w:val="left"/>
                    <w:jc w:val="center"/>
                  </w:pPr>
                  <w:r>
                    <w:t xml:space="preserve">15.55</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0.7462</w:t>
                  </w:r>
                </w:p>
              </w:tc>
              <w:tc>
                <w:tcPr/>
                <w:p>
                  <w:pPr>
                    <w:pStyle w:val="Compact"/>
                    <w:jc w:val="left"/>
                    <w:jc w:val="center"/>
                  </w:pPr>
                  <w:r>
                    <w:t xml:space="preserve">0.2287</w:t>
                  </w:r>
                </w:p>
              </w:tc>
              <w:tc>
                <w:tcPr/>
                <w:p>
                  <w:pPr>
                    <w:pStyle w:val="Compact"/>
                    <w:jc w:val="left"/>
                    <w:jc w:val="center"/>
                  </w:pPr>
                  <w:r>
                    <w:t xml:space="preserve">28.47</w:t>
                  </w:r>
                </w:p>
              </w:tc>
            </w:tr>
          </w:tbl>
          <w:bookmarkEnd w:id="82"/>
          <w:p/>
        </w:tc>
      </w:tr>
    </w:tbl>
    <w:p>
      <w:pPr>
        <w:pStyle w:val="BodyText"/>
      </w:pPr>
      <w:r>
        <w:t xml:space="preserve">M3 conserva casi todo su rendimiento con clima de ayer (0,7834/0,7462 vs. 0,7851/0,7485), lo que confirma que su señal dominante son los priors de recurrencia y no el clima del día. M1 cae ligeramente en Oriental (0,6339). Para un sistema operativo real se requiere un pronóstico day-ahead; la persistencia es sólo una cota.</w:t>
      </w:r>
    </w:p>
    <w:bookmarkEnd w:id="83"/>
    <w:bookmarkStart w:id="89" w:name="utilidad-operativa-análisis-cost-loss"/>
    <w:p>
      <w:pPr>
        <w:pStyle w:val="Heading2"/>
      </w:pPr>
      <w:r>
        <w:t xml:space="preserve">5.7 5.7 Utilidad operativa: análisis cost-loss</w:t>
      </w:r>
    </w:p>
    <w:p>
      <w:pPr>
        <w:pStyle w:val="FirstParagraph"/>
      </w:pPr>
      <w:r>
        <w:t xml:space="preserve">Las métricas de discriminación no responden por sí solas si conviene emitir una alerta. Se aplicó un análisis cost-loss poblacional con razón (</w:t>
      </w:r>
      <w:r>
        <w:t xml:space="preserve">=C/L), donde (C) es el costo de una acción preventiva y (L) la pérdida asociada a un incendio no atendido. El valor relativo (V(</w:t>
      </w:r>
      <w:r>
        <w:t xml:space="preserve">)) se calculó con los pesos poblacionales del muestreo D2.</w:t>
      </w:r>
    </w:p>
    <w:tbl>
      <w:tblPr>
        <w:tblStyle w:val="Table"/>
        <w:tblW w:type="pct" w:w="5000"/>
        <w:tblLayout w:type="fixed"/>
        <w:tblLook w:firstRow="0" w:lastRow="0" w:firstColumn="0" w:lastColumn="0" w:noHBand="0" w:noVBand="0" w:val="0000"/>
      </w:tblPr>
      <w:tblGrid>
        <w:gridCol w:w="7920"/>
      </w:tblGrid>
      <w:tr>
        <w:tc>
          <w:tcPr/>
          <w:bookmarkStart w:id="84" w:name="tbl-costloss"/>
          <w:p>
            <w:pPr>
              <w:jc w:val="center"/>
            </w:pPr>
            <w:pPr>
              <w:jc w:val="left"/>
              <w:spacing w:before="200"/>
              <w:pStyle w:val="ImageCaption"/>
            </w:pPr>
            <w:r>
              <w:t xml:space="preserve">Tabla 10: Análisis cost-loss poblacional. FWI/INPE se excluyen porque no son probabilidades calibradas.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Target</w:t>
                  </w:r>
                </w:p>
              </w:tc>
              <w:tc>
                <w:tcPr/>
                <w:p>
                  <w:pPr>
                    <w:pStyle w:val="Compact"/>
                    <w:jc w:val="left"/>
                    <w:jc w:val="center"/>
                  </w:pPr>
                  <w:r>
                    <w:t xml:space="preserve">Modelo</w:t>
                  </w:r>
                </w:p>
              </w:tc>
              <w:tc>
                <w:tcPr/>
                <w:p>
                  <w:pPr>
                    <w:pStyle w:val="Compact"/>
                    <w:jc w:val="right"/>
                    <w:jc w:val="center"/>
                  </w:pPr>
                  <w:r>
                    <w:t xml:space="preserve">(</w:t>
                  </w:r>
                  <w:r>
                    <w:t xml:space="preserve">) óptimo</w:t>
                  </w:r>
                </w:p>
              </w:tc>
              <w:tc>
                <w:tcPr/>
                <w:p>
                  <w:pPr>
                    <w:pStyle w:val="Compact"/>
                    <w:jc w:val="right"/>
                    <w:jc w:val="center"/>
                  </w:pPr>
                  <w:r>
                    <w:t xml:space="preserve">(V_{</w:t>
                  </w:r>
                  <w:r>
                    <w:t xml:space="preserve">})</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0,0001</w:t>
                  </w:r>
                </w:p>
              </w:tc>
              <w:tc>
                <w:tcPr/>
                <w:p>
                  <w:pPr>
                    <w:pStyle w:val="Compact"/>
                    <w:jc w:val="right"/>
                    <w:jc w:val="center"/>
                  </w:pPr>
                  <w:r>
                    <w:t xml:space="preserve">0,357</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0,0001</w:t>
                  </w:r>
                </w:p>
              </w:tc>
              <w:tc>
                <w:tcPr/>
                <w:p>
                  <w:pPr>
                    <w:pStyle w:val="Compact"/>
                    <w:jc w:val="right"/>
                    <w:jc w:val="center"/>
                  </w:pPr>
                  <w:r>
                    <w:t xml:space="preserve">0,353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0,623</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0,0005</w:t>
                  </w:r>
                </w:p>
              </w:tc>
              <w:tc>
                <w:tcPr/>
                <w:p>
                  <w:pPr>
                    <w:pStyle w:val="Compact"/>
                    <w:jc w:val="right"/>
                    <w:jc w:val="center"/>
                  </w:pPr>
                  <w:r>
                    <w:t xml:space="preserve">0,300</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0,0005</w:t>
                  </w:r>
                </w:p>
              </w:tc>
              <w:tc>
                <w:tcPr/>
                <w:p>
                  <w:pPr>
                    <w:pStyle w:val="Compact"/>
                    <w:jc w:val="right"/>
                    <w:jc w:val="center"/>
                  </w:pPr>
                  <w:r>
                    <w:t xml:space="preserve">0,309</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0,391</w:t>
                  </w:r>
                </w:p>
              </w:tc>
            </w:tr>
          </w:tbl>
          <w:bookmarkEnd w:id="84"/>
          <w:p/>
        </w:tc>
      </w:tr>
    </w:tbl>
    <w:p>
      <w:pPr>
        <w:pStyle w:val="BodyText"/>
      </w:pPr>
      <w:r>
        <w:t xml:space="preserve">El resultado es sobrio:</w:t>
      </w:r>
      <w:r>
        <w:t xml:space="preserve"> </w:t>
      </w:r>
      <w:r>
        <w:rPr>
          <w:b/>
          <w:bCs/>
        </w:rPr>
        <w:t xml:space="preserve">M3 no supera de forma clara a M2 en utilidad cost-loss para ignición</w:t>
      </w:r>
      <w:r>
        <w:t xml:space="preserve">; en Chaco, M2 es ligeramente superior en el óptimo, y en Oriental M3 lo supera por un margen pequeño. La capa de propagación sí muestra un valor operativo claramente mayor, con un óptimo alrededor de (</w:t>
      </w:r>
      <w:r>
        <w:t xml:space="preserve">002). Esto refuerza la conclusión de que M3 debe presentarse como un nowcast de recurrencia y no como un modelo universal de ignición.</w:t>
      </w:r>
    </w:p>
    <w:tbl>
      <w:tblPr>
        <w:tblStyle w:val="Table"/>
        <w:tblW w:type="pct" w:w="5000"/>
        <w:tblLayout w:type="fixed"/>
        <w:tblLook w:firstRow="0" w:lastRow="0" w:firstColumn="0" w:lastColumn="0" w:noHBand="0" w:noVBand="0" w:val="0000"/>
      </w:tblPr>
      <w:tblGrid>
        <w:gridCol w:w="7920"/>
      </w:tblGrid>
      <w:tr>
        <w:tc>
          <w:tcPr/>
          <w:bookmarkStart w:id="88" w:name="fig-costloss"/>
          <w:p>
            <w:pPr>
              <w:pStyle w:val="Compact"/>
              <w:jc w:val="center"/>
            </w:pPr>
            <w:r>
              <w:drawing>
                <wp:inline>
                  <wp:extent cx="5334000" cy="2051538"/>
                  <wp:effectExtent b="0" l="0" r="0" t="0"/>
                  <wp:docPr descr="" title="" id="86" name="Picture"/>
                  <a:graphic>
                    <a:graphicData uri="http://schemas.openxmlformats.org/drawingml/2006/picture">
                      <pic:pic>
                        <pic:nvPicPr>
                          <pic:cNvPr descr="figuras/fig08_cost_loss.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Curvas cost-loss poblacionales para ignición y propagación. La línea horizontal marca el valor nulo.</w:t>
            </w:r>
          </w:p>
          <w:bookmarkEnd w:id="88"/>
        </w:tc>
      </w:tr>
    </w:tbl>
    <w:p>
      <w:r>
        <w:pict>
          <v:rect style="width:0;height:1.5pt" o:hralign="center" o:hrstd="t" o:hr="t"/>
        </w:pict>
      </w:r>
    </w:p>
    <w:bookmarkEnd w:id="89"/>
    <w:bookmarkEnd w:id="90"/>
    <w:bookmarkStart w:id="98" w:name="discusión"/>
    <w:p>
      <w:pPr>
        <w:pStyle w:val="Heading1"/>
      </w:pPr>
      <w:r>
        <w:t xml:space="preserve">6. 6. Discusión</w:t>
      </w:r>
    </w:p>
    <w:bookmarkStart w:id="91"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INPE Risco de Fogo obtiene un ROC-AUC de</w:t>
      </w:r>
      <w:r>
        <w:t xml:space="preserve"> </w:t>
      </w:r>
      <m:oMath>
        <m:r>
          <m:t>0</m:t>
        </m:r>
        <m:r>
          <m:rPr>
            <m:sty m:val="p"/>
          </m:rPr>
          <m:t>,</m:t>
        </m:r>
        <m:r>
          <m:t>5386</m:t>
        </m:r>
      </m:oMath>
      <w:r>
        <w:t xml:space="preserve"> </w:t>
      </w:r>
      <w:r>
        <w:t xml:space="preserve">y el Canadian FWI completo un</w:t>
      </w:r>
      <w:r>
        <w:t xml:space="preserve"> </w:t>
      </w:r>
      <m:oMath>
        <m:r>
          <m:t>0</m:t>
        </m:r>
        <m:r>
          <m:rPr>
            <m:sty m:val="p"/>
          </m:rPr>
          <m:t>,</m:t>
        </m:r>
        <m:r>
          <m:t>5185</m:t>
        </m:r>
      </m:oMath>
      <w:r>
        <w:t xml:space="preserve">, ambos cercanos a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15.910</m:t>
        </m:r>
      </m:oMath>
      <w:r>
        <w:rPr>
          <w:b/>
          <w:bCs/>
        </w:rPr>
        <w:t xml:space="preserve"> </w:t>
      </w:r>
      <w:r>
        <w:rPr>
          <w:b/>
          <w:bCs/>
        </w:rPr>
        <w:t xml:space="preserve">falsos positivos</w:t>
      </w:r>
      <w:r>
        <w:t xml:space="preserve"> </w:t>
      </w:r>
      <w:r>
        <w:t xml:space="preserve">en el INPE y</w:t>
      </w:r>
      <w:r>
        <w:t xml:space="preserve"> </w:t>
      </w:r>
      <m:oMath>
        <m:r>
          <m:t>150.654</m:t>
        </m:r>
      </m:oMath>
      <w:r>
        <w:t xml:space="preserve"> </w:t>
      </w:r>
      <w:r>
        <w:t xml:space="preserve">en el FWI en 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91"/>
    <w:bookmarkStart w:id="92"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7851</m:t>
        </m:r>
      </m:oMath>
      <w:r>
        <w:t xml:space="preserve"> </w:t>
      </w:r>
      <w:r>
        <w:t xml:space="preserve">en el Chaco y</w:t>
      </w:r>
      <w:r>
        <w:t xml:space="preserve"> </w:t>
      </w:r>
      <m:oMath>
        <m:r>
          <m:t>0</m:t>
        </m:r>
        <m:r>
          <m:rPr>
            <m:sty m:val="p"/>
          </m:rPr>
          <m:t>,</m:t>
        </m:r>
        <m:r>
          <m:t>7485</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206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47</m:t>
        </m:r>
        <m:r>
          <m:rPr>
            <m:nor/>
            <m:sty m:val="p"/>
          </m:rPr>
          <m:t> %</m:t>
        </m:r>
      </m:oMath>
      <w:r>
        <w:t xml:space="preserve"> </w:t>
      </w:r>
      <w:r>
        <w:t xml:space="preserve">en el Chaco (con solo</w:t>
      </w:r>
      <w:r>
        <w:t xml:space="preserve"> </w:t>
      </w:r>
      <m:oMath>
        <m:r>
          <m:t>4.902</m:t>
        </m:r>
      </m:oMath>
      <w:r>
        <w:t xml:space="preserve"> </w:t>
      </w:r>
      <w:r>
        <w:t xml:space="preserve">falsos positivos frente a</w:t>
      </w:r>
      <w:r>
        <w:t xml:space="preserve"> </w:t>
      </w:r>
      <m:oMath>
        <m:r>
          <m:t>147.661</m:t>
        </m:r>
      </m:oMath>
      <w:r>
        <w:t xml:space="preserve"> </w:t>
      </w:r>
      <w:r>
        <w:t xml:space="preserve">del índice INPE) y del</w:t>
      </w:r>
      <w:r>
        <w:t xml:space="preserve"> </w:t>
      </w:r>
      <m:oMath>
        <m:r>
          <m:t>60</m:t>
        </m:r>
        <m:r>
          <m:rPr>
            <m:sty m:val="p"/>
          </m:rPr>
          <m:t>,</m:t>
        </m:r>
        <m:r>
          <m:t>78</m:t>
        </m:r>
        <m:r>
          <m:rPr>
            <m:nor/>
            <m:sty m:val="p"/>
          </m:rPr>
          <m:t> %</m:t>
        </m:r>
      </m:oMath>
      <w:r>
        <w:t xml:space="preserve"> </w:t>
      </w:r>
      <w:r>
        <w:t xml:space="preserve">en la Región Oriental. En población, la precisión es</w:t>
      </w:r>
      <w:r>
        <w:t xml:space="preserve"> </w:t>
      </w:r>
      <m:oMath>
        <m:r>
          <m:t>9</m:t>
        </m:r>
        <m:r>
          <m:rPr>
            <m:sty m:val="p"/>
          </m:rPr>
          <m:t>,</m:t>
        </m:r>
        <m:r>
          <m:t>853</m:t>
        </m:r>
        <m:r>
          <m:rPr>
            <m:nor/>
            <m:sty m:val="p"/>
          </m:rPr>
          <m:t> %</m:t>
        </m:r>
      </m:oMath>
      <w:r>
        <w:t xml:space="preserve"> </w:t>
      </w:r>
      <w:r>
        <w:t xml:space="preserve">y</w:t>
      </w:r>
      <w:r>
        <w:t xml:space="preserve"> </w:t>
      </w:r>
      <m:oMath>
        <m:r>
          <m:t>4</m:t>
        </m:r>
        <m:r>
          <m:rPr>
            <m:sty m:val="p"/>
          </m:rPr>
          <m:t>,</m:t>
        </m:r>
        <m:r>
          <m:t>183</m:t>
        </m:r>
        <m:r>
          <m:rPr>
            <m:nor/>
            <m:sty m:val="p"/>
          </m:rPr>
          <m:t> %</m:t>
        </m:r>
      </m:oMath>
      <w:r>
        <w:t xml:space="preserve">.</w:t>
      </w:r>
    </w:p>
    <w:bookmarkEnd w:id="92"/>
    <w:bookmarkStart w:id="93"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7</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93"/>
    <w:bookmarkStart w:id="94"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superior (</w:t>
      </w:r>
      <m:oMath>
        <m:r>
          <m:t>R</m:t>
        </m:r>
        <m:r>
          <m:t>O</m:t>
        </m:r>
        <m:r>
          <m:t>C</m:t>
        </m:r>
        <m:r>
          <m:rPr>
            <m:sty m:val="p"/>
          </m:rPr>
          <m:t>=</m:t>
        </m:r>
        <m:r>
          <m:t>0</m:t>
        </m:r>
        <m:r>
          <m:rPr>
            <m:sty m:val="p"/>
          </m:rPr>
          <m:t>,</m:t>
        </m:r>
        <m:r>
          <m:t>7485</m:t>
        </m:r>
      </m:oMath>
      <w:r>
        <w:t xml:space="preserve">,</w:t>
      </w:r>
      <w:r>
        <w:t xml:space="preserve"> </w:t>
      </w:r>
      <m:oMath>
        <m:r>
          <m:t>P</m:t>
        </m:r>
        <m:r>
          <m:t>R</m:t>
        </m:r>
        <m:r>
          <m:rPr>
            <m:sty m:val="p"/>
          </m:rPr>
          <m:t>=</m:t>
        </m:r>
        <m:r>
          <m:t>0</m:t>
        </m:r>
        <m:r>
          <m:rPr>
            <m:sty m:val="p"/>
          </m:rPr>
          <m:t>,</m:t>
        </m:r>
        <m:r>
          <m:t>2318</m:t>
        </m:r>
      </m:oMath>
      <w:r>
        <w:t xml:space="preserve">) frente al Chaco (</w:t>
      </w:r>
      <m:oMath>
        <m:r>
          <m:t>R</m:t>
        </m:r>
        <m:r>
          <m:t>O</m:t>
        </m:r>
        <m:r>
          <m:t>C</m:t>
        </m:r>
        <m:r>
          <m:rPr>
            <m:sty m:val="p"/>
          </m:rPr>
          <m:t>=</m:t>
        </m:r>
        <m:r>
          <m:t>0</m:t>
        </m:r>
        <m:r>
          <m:rPr>
            <m:sty m:val="p"/>
          </m:rPr>
          <m:t>,</m:t>
        </m:r>
        <m:r>
          <m:t>7851</m:t>
        </m:r>
      </m:oMath>
      <w:r>
        <w:t xml:space="preserve">,</w:t>
      </w:r>
      <w:r>
        <w:t xml:space="preserve"> </w:t>
      </w:r>
      <m:oMath>
        <m:r>
          <m:t>P</m:t>
        </m:r>
        <m:r>
          <m:t>R</m:t>
        </m:r>
        <m:r>
          <m:rPr>
            <m:sty m:val="p"/>
          </m:rPr>
          <m:t>=</m:t>
        </m:r>
        <m:r>
          <m:t>0</m:t>
        </m:r>
        <m:r>
          <m:rPr>
            <m:sty m:val="p"/>
          </m:rPr>
          <m:t>,</m:t>
        </m:r>
        <m:r>
          <m:t>2410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8988</m:t>
        </m:r>
      </m:oMath>
      <w:r>
        <w:t xml:space="preserve"> </w:t>
      </w:r>
      <w:r>
        <w:t xml:space="preserve">y PR =</w:t>
      </w:r>
      <w:r>
        <w:t xml:space="preserve"> </w:t>
      </w:r>
      <m:oMath>
        <m:r>
          <m:t>0</m:t>
        </m:r>
        <m:r>
          <m:rPr>
            <m:sty m:val="p"/>
          </m:rPr>
          <m:t>,</m:t>
        </m:r>
        <m:r>
          <m:t>6828</m:t>
        </m:r>
      </m:oMath>
      <w:r>
        <w:t xml:space="preserve">; su precisión case-control es</w:t>
      </w:r>
      <w:r>
        <w:t xml:space="preserve"> </w:t>
      </w:r>
      <m:oMath>
        <m:r>
          <m:t>84</m:t>
        </m:r>
        <m:r>
          <m:rPr>
            <m:sty m:val="p"/>
          </m:rPr>
          <m:t>,</m:t>
        </m:r>
        <m:r>
          <m:t>47</m:t>
        </m:r>
        <m:r>
          <m:rPr>
            <m:nor/>
            <m:sty m:val="p"/>
          </m:rPr>
          <m:t> %</m:t>
        </m:r>
      </m:oMath>
      <w:r>
        <w:t xml:space="preserve"> </w:t>
      </w:r>
      <w:r>
        <w:t xml:space="preserve">y la poblacional</w:t>
      </w:r>
      <w:r>
        <w:t xml:space="preserve"> </w:t>
      </w:r>
      <m:oMath>
        <m:r>
          <m:t>9</m:t>
        </m:r>
        <m:r>
          <m:rPr>
            <m:sty m:val="p"/>
          </m:rPr>
          <m:t>,</m:t>
        </m:r>
        <m:r>
          <m:t>853</m:t>
        </m:r>
        <m:r>
          <m:rPr>
            <m:nor/>
            <m:sty m:val="p"/>
          </m:rPr>
          <m:t> %</m:t>
        </m:r>
      </m:oMath>
      <w:r>
        <w:t xml:space="preserve">. En la Región Oriental, la precisión case-control es</w:t>
      </w:r>
      <w:r>
        <w:t xml:space="preserve"> </w:t>
      </w:r>
      <m:oMath>
        <m:r>
          <m:t>60</m:t>
        </m:r>
        <m:r>
          <m:rPr>
            <m:sty m:val="p"/>
          </m:rPr>
          <m:t>,</m:t>
        </m:r>
        <m:r>
          <m:t>78</m:t>
        </m:r>
        <m:r>
          <m:rPr>
            <m:nor/>
            <m:sty m:val="p"/>
          </m:rPr>
          <m:t> %</m:t>
        </m:r>
      </m:oMath>
      <w:r>
        <w:t xml:space="preserve"> </w:t>
      </w:r>
      <w:r>
        <w:t xml:space="preserve">y la poblacional</w:t>
      </w:r>
      <w:r>
        <w:t xml:space="preserve"> </w:t>
      </w:r>
      <m:oMath>
        <m:r>
          <m:t>4</m:t>
        </m:r>
        <m:r>
          <m:rPr>
            <m:sty m:val="p"/>
          </m:rPr>
          <m:t>,</m:t>
        </m:r>
        <m:r>
          <m:t>183</m:t>
        </m:r>
        <m:r>
          <m:rPr>
            <m:nor/>
            <m:sty m:val="p"/>
          </m:rPr>
          <m:t> %</m:t>
        </m:r>
      </m:oMath>
      <w:r>
        <w:t xml:space="preserve">. Las cifras case-control no son operativas.</w:t>
      </w:r>
    </w:p>
    <w:bookmarkEnd w:id="94"/>
    <w:bookmarkStart w:id="95"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95"/>
    <w:bookmarkStart w:id="96"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569</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96"/>
    <w:bookmarkStart w:id="97"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INPE Risco de Fogo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0,6246/0,5721 en bloques no vistos, mientras que M1 obtiene 0,6346/0,6195. La ventaja de M3 es temporal y específica de celdas con historia de fuego; no debe presentarse como un modelo de extrapolación espacial. El servicio de alerta actual usa M3 en todas las celdas y aún no tiene un fallback automático a M1 para celdas sin historia.</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(0,062 %/0,206 % para ignición; 9,853 %/4,183 %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sobre la muestra case-control (</w:t>
      </w:r>
      <m:oMath>
        <m:r>
          <m:t>p</m:t>
        </m:r>
        <m:r>
          <m:rPr>
            <m:sty m:val="p"/>
          </m:rPr>
          <m:t>≤</m:t>
        </m:r>
        <m:r>
          <m:t>0</m:t>
        </m:r>
        <m:r>
          <m:rPr>
            <m:sty m:val="p"/>
          </m:rPr>
          <m:t>,</m:t>
        </m:r>
        <m:r>
          <m:t>001</m:t>
        </m:r>
      </m:oMath>
      <w:r>
        <w:t xml:space="preserve">); no corrige el sesgo de prevalencia ni la dependencia espacial, por lo que no debe leerse como validación operativa.</w:t>
      </w:r>
    </w:p>
    <w:p>
      <w:r>
        <w:pict>
          <v:rect style="width:0;height:1.5pt" o:hralign="center" o:hrstd="t" o:hr="t"/>
        </w:pict>
      </w:r>
    </w:p>
    <w:bookmarkEnd w:id="97"/>
    <w:bookmarkEnd w:id="98"/>
    <w:bookmarkStart w:id="106"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0,7851/0,7485 y la propagación 0,8988/0,7798 (Chaco/Oriental), frente a 0,5185/0,5569 del FWI completo y 0,5386/0,4994 del INPE Risco de Fogo. En la muestra case-control, la precisión</w:t>
      </w:r>
      <w:r>
        <w:t xml:space="preserve"> </w:t>
      </w:r>
      <m:oMath>
        <m:sSub>
          <m:e>
            <m:r>
              <m:t>F</m:t>
            </m:r>
          </m:e>
          <m:sub>
            <m:r>
              <m:t>0.5</m:t>
            </m:r>
          </m:sub>
        </m:sSub>
      </m:oMath>
      <w:r>
        <w:t xml:space="preserve"> </w:t>
      </w:r>
      <w:r>
        <w:t xml:space="preserve">es 27,54 %/29,67 % y 84,47 %/60,78 %; en población real cae a 0,062 %/0,206 % y 9,853 %/4,183 %.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~1,4 s y ~2,0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0,6246/0,5721 y M1 obtiene 0,6346/0,6195. La ventaja híbrida es temporal y específica de celdas con historia de fuego; para celdas nuevas debe preferirse M1 o un reentrenamiento con validación espacial.</w:t>
      </w:r>
    </w:p>
    <w:bookmarkStart w:id="105" w:name="X440eed359d402fc402eb300a6b25588dee57b4d"/>
    <w:p>
      <w:pPr>
        <w:pStyle w:val="Heading2"/>
      </w:pPr>
      <w:r>
        <w:t xml:space="preserve">7.1 7.1 Trabajo Futuro y Hoja de Ruta Tecnológica</w:t>
      </w:r>
    </w:p>
    <w:bookmarkStart w:id="99"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569</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9"/>
    <w:bookmarkStart w:id="104"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trimodal"/>
          <w:p>
            <w:pPr>
              <w:pStyle w:val="Compact"/>
              <w:jc w:val="center"/>
            </w:pPr>
            <w:r>
              <w:drawing>
                <wp:inline>
                  <wp:extent cx="5334000" cy="1980517"/>
                  <wp:effectExtent b="0" l="0" r="0" t="0"/>
                  <wp:docPr descr="" title="" id="101" name="Picture"/>
                  <a:graphic>
                    <a:graphicData uri="http://schemas.openxmlformats.org/drawingml/2006/picture">
                      <pic:pic>
                        <pic:nvPicPr>
                          <pic:cNvPr descr="figuras/fig06_comparativa_satelital_tres_modos.png" id="102" name="Picture"/>
                          <pic:cNvPicPr>
                            <a:picLocks noChangeArrowheads="1" noChangeAspect="1"/>
                          </pic:cNvPicPr>
                        </pic:nvPicPr>
                        <pic:blipFill>
                          <a:blip r:embed="rId100"/>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Esquema conceptual y operativo de la verificación satelital tri-modal multiespectral: Modo 1 (Alerta Regional a 1 km²), Modo 2 (Detección térmica focal VIIRS a 375 m) y Modo 3 (Confirmación espectral SWIR de alta resolución en frentes de fuego activos).</w:t>
            </w:r>
          </w:p>
          <w:bookmarkEnd w:id="103"/>
        </w:tc>
      </w:tr>
    </w:tbl>
    <w:p>
      <w:r>
        <w:pict>
          <v:rect style="width:0;height:1.5pt" o:hralign="center" o:hrstd="t" o:hr="t"/>
        </w:pict>
      </w:r>
    </w:p>
    <w:bookmarkEnd w:id="104"/>
    <w:bookmarkEnd w:id="105"/>
    <w:bookmarkEnd w:id="106"/>
    <w:bookmarkStart w:id="108"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11</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107" w:name="tbl-code"/>
          <w:p>
            <w:pPr>
              <w:jc w:val="center"/>
            </w:pPr>
            <w:pPr>
              <w:jc w:val="left"/>
              <w:spacing w:before="200"/>
              <w:pStyle w:val="ImageCaption"/>
            </w:pPr>
            <w:r>
              <w:t xml:space="preserve">Tabla 11: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107"/>
          <w:p/>
        </w:tc>
      </w:tr>
    </w:tbl>
    <w:p>
      <w:r>
        <w:pict>
          <v:rect style="width:0;height:1.5pt" o:hralign="center" o:hrstd="t" o:hr="t"/>
        </w:pict>
      </w:r>
    </w:p>
    <w:bookmarkEnd w:id="108"/>
    <w:bookmarkStart w:id="194" w:name="referencias"/>
    <w:p>
      <w:pPr>
        <w:pStyle w:val="Heading1"/>
      </w:pPr>
      <w:r>
        <w:t xml:space="preserve">Referencias</w:t>
      </w:r>
    </w:p>
    <w:bookmarkStart w:id="193" w:name="refs"/>
    <w:bookmarkStart w:id="109"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09"/>
    <w:bookmarkStart w:id="111"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10">
        <w:r>
          <w:rPr>
            <w:rStyle w:val="Hyperlink"/>
          </w:rPr>
          <w:t xml:space="preserve">https://doi.org/10.3390/rs10091438</w:t>
        </w:r>
      </w:hyperlink>
    </w:p>
    <w:bookmarkEnd w:id="111"/>
    <w:bookmarkStart w:id="113"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12">
        <w:r>
          <w:rPr>
            <w:rStyle w:val="Hyperlink"/>
          </w:rPr>
          <w:t xml:space="preserve">https://doi.org/10.1071/WF12167</w:t>
        </w:r>
      </w:hyperlink>
    </w:p>
    <w:bookmarkEnd w:id="113"/>
    <w:bookmarkStart w:id="115"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14">
        <w:r>
          <w:rPr>
            <w:rStyle w:val="Hyperlink"/>
          </w:rPr>
          <w:t xml:space="preserve">https://doi.org/10.1038/s41597-019-0312-2</w:t>
        </w:r>
      </w:hyperlink>
    </w:p>
    <w:bookmarkEnd w:id="115"/>
    <w:bookmarkStart w:id="11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16">
        <w:r>
          <w:rPr>
            <w:rStyle w:val="Hyperlink"/>
          </w:rPr>
          <w:t xml:space="preserve">https://doi.org/10.3390/s20226442</w:t>
        </w:r>
      </w:hyperlink>
    </w:p>
    <w:bookmarkEnd w:id="117"/>
    <w:bookmarkStart w:id="119"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18">
        <w:r>
          <w:rPr>
            <w:rStyle w:val="Hyperlink"/>
          </w:rPr>
          <w:t xml:space="preserve">https://doi.org/10.1111/gcb.13521</w:t>
        </w:r>
      </w:hyperlink>
    </w:p>
    <w:bookmarkEnd w:id="119"/>
    <w:bookmarkStart w:id="121"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20">
        <w:r>
          <w:rPr>
            <w:rStyle w:val="Hyperlink"/>
          </w:rPr>
          <w:t xml:space="preserve">https://doi.org/10.1145/2939672.2939785</w:t>
        </w:r>
      </w:hyperlink>
    </w:p>
    <w:bookmarkEnd w:id="121"/>
    <w:bookmarkStart w:id="123"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22">
        <w:r>
          <w:rPr>
            <w:rStyle w:val="Hyperlink"/>
          </w:rPr>
          <w:t xml:space="preserve">https://doi.org/10.1016/j.rse.2019.02.013</w:t>
        </w:r>
      </w:hyperlink>
    </w:p>
    <w:bookmarkEnd w:id="123"/>
    <w:bookmarkStart w:id="125"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24">
        <w:r>
          <w:rPr>
            <w:rStyle w:val="Hyperlink"/>
          </w:rPr>
          <w:t xml:space="preserve">https://doi.org/10.1088/1748-9326/ab020e</w:t>
        </w:r>
      </w:hyperlink>
    </w:p>
    <w:bookmarkEnd w:id="125"/>
    <w:bookmarkStart w:id="127"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26">
        <w:r>
          <w:rPr>
            <w:rStyle w:val="Hyperlink"/>
          </w:rPr>
          <w:t xml:space="preserve">https://doi.org/10.1111/j.2007.0906-7590.05171.x</w:t>
        </w:r>
      </w:hyperlink>
    </w:p>
    <w:bookmarkEnd w:id="127"/>
    <w:bookmarkStart w:id="128"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28"/>
    <w:bookmarkStart w:id="13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29">
        <w:r>
          <w:rPr>
            <w:rStyle w:val="Hyperlink"/>
          </w:rPr>
          <w:t xml:space="preserve">https://doi.org/10.1071/WF08187</w:t>
        </w:r>
      </w:hyperlink>
    </w:p>
    <w:bookmarkEnd w:id="130"/>
    <w:bookmarkStart w:id="132"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31">
        <w:r>
          <w:rPr>
            <w:rStyle w:val="Hyperlink"/>
          </w:rPr>
          <w:t xml:space="preserve">https://doi.org/10.1007/s10584-015-1521-0</w:t>
        </w:r>
      </w:hyperlink>
    </w:p>
    <w:bookmarkEnd w:id="132"/>
    <w:bookmarkStart w:id="134"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33">
        <w:r>
          <w:rPr>
            <w:rStyle w:val="Hyperlink"/>
          </w:rPr>
          <w:t xml:space="preserve">https://doi.org/10.1016/j.rse.2016.02.054</w:t>
        </w:r>
      </w:hyperlink>
    </w:p>
    <w:bookmarkEnd w:id="134"/>
    <w:bookmarkStart w:id="136"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35">
        <w:r>
          <w:rPr>
            <w:rStyle w:val="Hyperlink"/>
          </w:rPr>
          <w:t xml:space="preserve">https://doi.org/10.1016/j.rse.2017.06.031</w:t>
        </w:r>
      </w:hyperlink>
    </w:p>
    <w:bookmarkEnd w:id="136"/>
    <w:bookmarkStart w:id="13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37">
        <w:r>
          <w:rPr>
            <w:rStyle w:val="Hyperlink"/>
          </w:rPr>
          <w:t xml:space="preserve">https://doi.org/10.1139/er-2020-0019</w:t>
        </w:r>
      </w:hyperlink>
    </w:p>
    <w:bookmarkEnd w:id="138"/>
    <w:bookmarkStart w:id="14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39">
        <w:r>
          <w:rPr>
            <w:rStyle w:val="Hyperlink"/>
          </w:rPr>
          <w:t xml:space="preserve">https://doi.org/10.1038/ncomms8537</w:t>
        </w:r>
      </w:hyperlink>
    </w:p>
    <w:bookmarkEnd w:id="140"/>
    <w:bookmarkStart w:id="142"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41">
        <w:r>
          <w:rPr>
            <w:rStyle w:val="Hyperlink"/>
          </w:rPr>
          <w:t xml:space="preserve">https://doi.org/10.1016/S0034-4257(02)00076-7</w:t>
        </w:r>
      </w:hyperlink>
    </w:p>
    <w:bookmarkEnd w:id="142"/>
    <w:bookmarkStart w:id="14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43"/>
    <w:bookmarkStart w:id="14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44">
        <w:r>
          <w:rPr>
            <w:rStyle w:val="Hyperlink"/>
          </w:rPr>
          <w:t xml:space="preserve">https://doi.org/10.2307/1939924</w:t>
        </w:r>
      </w:hyperlink>
    </w:p>
    <w:bookmarkEnd w:id="145"/>
    <w:bookmarkStart w:id="14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46">
        <w:r>
          <w:rPr>
            <w:rStyle w:val="Hyperlink"/>
          </w:rPr>
          <w:t xml:space="preserve">https://doi.org/10.1038/s42256-019-0138-9</w:t>
        </w:r>
      </w:hyperlink>
    </w:p>
    <w:bookmarkEnd w:id="147"/>
    <w:bookmarkStart w:id="14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48">
        <w:r>
          <w:rPr>
            <w:rStyle w:val="Hyperlink"/>
          </w:rPr>
          <w:t xml:space="preserve">https://chaco.mapbiomas.org/</w:t>
        </w:r>
      </w:hyperlink>
      <w:r>
        <w:t xml:space="preserve">.</w:t>
      </w:r>
    </w:p>
    <w:bookmarkEnd w:id="149"/>
    <w:bookmarkStart w:id="151"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50">
        <w:r>
          <w:rPr>
            <w:rStyle w:val="Hyperlink"/>
          </w:rPr>
          <w:t xml:space="preserve">https://doi.org/10.1111/2041-210X.13650</w:t>
        </w:r>
      </w:hyperlink>
    </w:p>
    <w:bookmarkEnd w:id="151"/>
    <w:bookmarkStart w:id="153"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52">
        <w:r>
          <w:rPr>
            <w:rStyle w:val="Hyperlink"/>
          </w:rPr>
          <w:t xml:space="preserve">https://doi.org/10.5194/essd-13-4349-2021</w:t>
        </w:r>
      </w:hyperlink>
    </w:p>
    <w:bookmarkEnd w:id="153"/>
    <w:bookmarkStart w:id="15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54">
        <w:r>
          <w:rPr>
            <w:rStyle w:val="Hyperlink"/>
          </w:rPr>
          <w:t xml:space="preserve">https://doi.org/10.1145/1102351.1102430</w:t>
        </w:r>
      </w:hyperlink>
    </w:p>
    <w:bookmarkEnd w:id="155"/>
    <w:bookmarkStart w:id="156"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56"/>
    <w:bookmarkStart w:id="158"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57">
        <w:r>
          <w:rPr>
            <w:rStyle w:val="Hyperlink"/>
          </w:rPr>
          <w:t xml:space="preserve">https://doi.org/10.1016/j.pecon.2021.06.005</w:t>
        </w:r>
      </w:hyperlink>
    </w:p>
    <w:bookmarkEnd w:id="158"/>
    <w:bookmarkStart w:id="15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59"/>
    <w:bookmarkStart w:id="161"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60">
        <w:r>
          <w:rPr>
            <w:rStyle w:val="Hyperlink"/>
          </w:rPr>
          <w:t xml:space="preserve">https://doi.org/10.1038/s41467-020-18321-y</w:t>
        </w:r>
      </w:hyperlink>
    </w:p>
    <w:bookmarkEnd w:id="161"/>
    <w:bookmarkStart w:id="162"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62"/>
    <w:bookmarkStart w:id="16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63">
        <w:r>
          <w:rPr>
            <w:rStyle w:val="Hyperlink"/>
          </w:rPr>
          <w:t xml:space="preserve">https://doi.org/10.1145/3299869.3320212</w:t>
        </w:r>
      </w:hyperlink>
    </w:p>
    <w:bookmarkEnd w:id="164"/>
    <w:bookmarkStart w:id="166"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65">
        <w:r>
          <w:rPr>
            <w:rStyle w:val="Hyperlink"/>
          </w:rPr>
          <w:t xml:space="preserve">https://doi.org/10.1038/s41586-019-0912-1</w:t>
        </w:r>
      </w:hyperlink>
    </w:p>
    <w:bookmarkEnd w:id="166"/>
    <w:bookmarkStart w:id="168"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67">
        <w:r>
          <w:rPr>
            <w:rStyle w:val="Hyperlink"/>
          </w:rPr>
          <w:t xml:space="preserve">https://doi.org/10.1111/ecog.02881</w:t>
        </w:r>
      </w:hyperlink>
    </w:p>
    <w:bookmarkEnd w:id="168"/>
    <w:bookmarkStart w:id="170"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69">
        <w:r>
          <w:rPr>
            <w:rStyle w:val="Hyperlink"/>
          </w:rPr>
          <w:t xml:space="preserve">https://doi.org/10.1016/j.envsoft.2014.03.003</w:t>
        </w:r>
      </w:hyperlink>
    </w:p>
    <w:bookmarkEnd w:id="170"/>
    <w:bookmarkStart w:id="171"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71"/>
    <w:bookmarkStart w:id="173"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72">
        <w:r>
          <w:rPr>
            <w:rStyle w:val="Hyperlink"/>
          </w:rPr>
          <w:t xml:space="preserve">https://doi.org/10.1016/j.rse.2008.05.013</w:t>
        </w:r>
      </w:hyperlink>
    </w:p>
    <w:bookmarkEnd w:id="173"/>
    <w:bookmarkStart w:id="17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74">
        <w:r>
          <w:rPr>
            <w:rStyle w:val="Hyperlink"/>
          </w:rPr>
          <w:t xml:space="preserve">https://doi.org/10.5772/28441</w:t>
        </w:r>
      </w:hyperlink>
    </w:p>
    <w:bookmarkEnd w:id="175"/>
    <w:bookmarkStart w:id="177"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76">
        <w:r>
          <w:rPr>
            <w:rStyle w:val="Hyperlink"/>
          </w:rPr>
          <w:t xml:space="preserve">https://doi.org/10.1016/j.firesaf.2019.01.006</w:t>
        </w:r>
      </w:hyperlink>
    </w:p>
    <w:bookmarkEnd w:id="177"/>
    <w:bookmarkStart w:id="17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78">
        <w:r>
          <w:rPr>
            <w:rStyle w:val="Hyperlink"/>
          </w:rPr>
          <w:t xml:space="preserve">https://doi.org/10.1016/j.rse.2013.12.008</w:t>
        </w:r>
      </w:hyperlink>
    </w:p>
    <w:bookmarkEnd w:id="179"/>
    <w:bookmarkStart w:id="18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80">
        <w:r>
          <w:rPr>
            <w:rStyle w:val="Hyperlink"/>
          </w:rPr>
          <w:t xml:space="preserve">http://queimadas.dgi.inpe.br</w:t>
        </w:r>
      </w:hyperlink>
    </w:p>
    <w:bookmarkEnd w:id="181"/>
    <w:bookmarkStart w:id="18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82">
        <w:r>
          <w:rPr>
            <w:rStyle w:val="Hyperlink"/>
          </w:rPr>
          <w:t xml:space="preserve">https://doi.org/10.5558/tfc65258-4</w:t>
        </w:r>
      </w:hyperlink>
    </w:p>
    <w:bookmarkEnd w:id="183"/>
    <w:bookmarkStart w:id="18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84">
        <w:r>
          <w:rPr>
            <w:rStyle w:val="Hyperlink"/>
          </w:rPr>
          <w:t xml:space="preserve">https://doi.org/10.2307/143141</w:t>
        </w:r>
      </w:hyperlink>
    </w:p>
    <w:bookmarkEnd w:id="185"/>
    <w:bookmarkStart w:id="18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86">
        <w:r>
          <w:rPr>
            <w:rStyle w:val="Hyperlink"/>
          </w:rPr>
          <w:t xml:space="preserve">https://doi.org/10.1016/j.jaridenv.2014.11.009</w:t>
        </w:r>
      </w:hyperlink>
    </w:p>
    <w:bookmarkEnd w:id="187"/>
    <w:bookmarkStart w:id="18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88"/>
    <w:bookmarkStart w:id="190"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89">
        <w:r>
          <w:rPr>
            <w:rStyle w:val="Hyperlink"/>
          </w:rPr>
          <w:t xml:space="preserve">https://doi.org/10.1145/3514228</w:t>
        </w:r>
      </w:hyperlink>
    </w:p>
    <w:bookmarkEnd w:id="190"/>
    <w:bookmarkStart w:id="192"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91">
        <w:r>
          <w:rPr>
            <w:rStyle w:val="Hyperlink"/>
          </w:rPr>
          <w:t xml:space="preserve">https://doi.org/10.1029/2005JD006318</w:t>
        </w:r>
      </w:hyperlink>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2026-10-26T18:29:01Z</dcterms:created>
  <dcterms:modified xsi:type="dcterms:W3CDTF">2026-10-26T18:29:01Z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completo y INPE Risco de Fogo</vt:lpwstr>
  </property>
  <property fmtid="{D5CDD505-2E9C-101B-9397-08002B2CF9AE}" pid="14" name="tbl-cap-location">
    <vt:lpwstr>top</vt:lpwstr>
  </property>
  <property fmtid="{D5CDD505-2E9C-101B-9397-08002B2CF9AE}" pid="15" name="toc-title">
    <vt:lpwstr>Contenido del Manuscrito</vt:lpwstr>
  </property>
</Properties>
</file>