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manuscrito.docx</w:t>
      </w:r>
      <w:r>
        <w:t xml:space="preserve">,</w:t>
      </w:r>
      <w:r>
        <w:t xml:space="preserve"> </w:t>
      </w:r>
      <w:r>
        <w:rPr>
          <w:rStyle w:val="VerbatimChar"/>
        </w:rPr>
        <w:t xml:space="preserve">manuscrito.html</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w:t>
      </w:r>
    </w:p>
    <w:bookmarkStart w:id="9" w:name="resumen"/>
    <w:p>
      <w:pPr>
        <w:pStyle w:val="Heading1"/>
      </w:pPr>
      <w:r>
        <w:t xml:space="preserve">Resumen</w:t>
      </w:r>
    </w:p>
    <w:p>
      <w:pPr>
        <w:pStyle w:val="FirstParagraph"/>
      </w:pPr>
      <w:r>
        <w:t xml:space="preserve">La predicción de incendios con aprendizaje automático suele sufrir fugas espaciales y una transferibilidad limitada de los índices boreales a biomas subtropicales. Para la grilla de 1 km² del Chaco y la Región Oriental del Paraguay (2018–2025),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w:t>
      </w:r>
      <w:r>
        <w:t xml:space="preserve"> </w:t>
      </w:r>
      <w:r>
        <w:rPr>
          <w:i/>
          <w:iCs/>
        </w:rPr>
        <w:t xml:space="preserve">t</w:t>
      </w:r>
      <w:r>
        <w:t xml:space="preserve"> </w:t>
      </w:r>
      <w:r>
        <w:t xml:space="preserve">sin fuego a menos de 25 km en</w:t>
      </w:r>
      <w:r>
        <w:t xml:space="preserve"> </w:t>
      </w:r>
      <w:r>
        <w:rPr>
          <w:i/>
          <w:iCs/>
        </w:rPr>
        <w:t xml:space="preserve">t</w:t>
      </w:r>
      <w:r>
        <w:t xml:space="preserve">−1 ni en la misma celda durante los 10 días previos; la propagación se evalúa a menos de 25 km de un fuego en</w:t>
      </w:r>
      <w:r>
        <w:t xml:space="preserve"> </w:t>
      </w:r>
      <w:r>
        <w:rPr>
          <w:i/>
          <w:iCs/>
        </w:rPr>
        <w:t xml:space="preserve">t</w:t>
      </w:r>
      <w:r>
        <w:t xml:space="preserve">−1. Un filtro biofísico descarta celdas-día no combustibles o húmedas. Un modelo híbrido LightGBM (M3) predice la ignición sin variables de fuego en</w:t>
      </w:r>
      <w:r>
        <w:t xml:space="preserve"> </w:t>
      </w:r>
      <w:r>
        <w:rPr>
          <w:i/>
          <w:iCs/>
        </w:rPr>
        <w:t xml:space="preserve">t</w:t>
      </w:r>
      <w:r>
        <w:t xml:space="preserve">−1, empleando M2 como respaldo para celdas sin historia y M1 como línea base biofísica. En la validación de 2023, M3 alcanza ROC-AUC 0.7844/0.7628 (Chaco/Oriental) frente a 0.7817/0.7496 de M2. En bloques espaciales de 2023, M2 es el más robusto (0.6773/0.7470) y M1 no supera a M2 en celdas sin historia. Un holdout independiente de confirmación retuvo también a M2 (0.6871/0.6621). En el test retrospectivo 2024–2025, M3 alcanza 0.8021/0.7534 frente a 0.5173/0.5564 del Canadian Forest Fire Weather Index (FWI) y 0.5389/0.4990 del INPE Risco de Fogo; la propagación alcanza 0.9039/0.7859. La precisión poblacional de ignición es 0.082 %/0.198 % (IC 95 % 0.075–0.088/0.178–0.222), y el valor de decisión se concentra en la propagación, lo que confirma un papel de cribado y priorización y no un sistema de alerta autónomo. La contribución es el operador D2, la inferencia con gating y el arnés de evaluación abiertos, publicados como software reproducible.</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w:t>
      </w:r>
      <w:r>
        <w:t xml:space="preserve"> </w:t>
      </w:r>
      <w:r>
        <w:rPr>
          <w:i/>
          <w:iCs/>
        </w:rPr>
        <w:t xml:space="preserve">t</w:t>
      </w:r>
      <w:r>
        <w:t xml:space="preserve">−1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 Las dos tareas también son físicamente distintas: la ignición primaria está controlada por el curado de combustibles finos, la demanda atmosférica de agua y el manejo humano del territorio, mientras que la propagación táctica está regida por la radiación térmica y la proximidad de perímetros activos. Mezclar ambos procesos en una sola etiqueta binaria no solo introduce un atajo estadístico, sino que mezcla dos regímenes físicos que responden a predictores diferentes.</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estas restricciones metodológicas y operativas sobre el registro continuo VIIRS 2018–2025 (Suomi-NPP, NOAA-20 y NOAA-21) en una grilla nacional de 1 km² de Paraguay (400 006 celdas)</w:t>
      </w:r>
      <w:r>
        <w:t xml:space="preserve"> </w:t>
      </w:r>
      <w:r>
        <w:t xml:space="preserve">(Schroeder et al., 2014)</w:t>
      </w:r>
      <w:r>
        <w:t xml:space="preserve">. Manteniendo al aprendiz subyacente intencionalmente reemplazable, formalizamos cuatro contribuciones computacionales reutilizables:</w:t>
      </w:r>
    </w:p>
    <w:p>
      <w:pPr>
        <w:pStyle w:val="Compact"/>
        <w:numPr>
          <w:ilvl w:val="0"/>
          <w:numId w:val="1001"/>
        </w:numPr>
      </w:pPr>
      <w:r>
        <w:rPr>
          <w:b/>
          <w:bCs/>
        </w:rPr>
        <w:t xml:space="preserve">Operador de objetivos D2.</w:t>
      </w:r>
      <w:r>
        <w:t xml:space="preserve"> </w:t>
      </w:r>
      <w:r>
        <w:t xml:space="preserve">Un contrato formal que separa la ignición primaria de la propagación táctica, evita mezclar persistencia con ignición y hace explícitos los controles de fuga.</w:t>
      </w:r>
    </w:p>
    <w:p>
      <w:pPr>
        <w:pStyle w:val="Compact"/>
        <w:numPr>
          <w:ilvl w:val="0"/>
          <w:numId w:val="1001"/>
        </w:numPr>
      </w:pPr>
      <w:r>
        <w:rPr>
          <w:b/>
          <w:bCs/>
        </w:rPr>
        <w:t xml:space="preserve">Inferencia M3/M2 con gating.</w:t>
      </w:r>
      <w:r>
        <w:t xml:space="preserve"> </w:t>
      </w:r>
      <w:r>
        <w:t xml:space="preserve">Una política de dos etapas que combina cribado biofísico con un modelo híbrido consciente de la recurrencia (M3) donde existe historia de fuego y un respaldo base (M2) donde no existe.</w:t>
      </w:r>
    </w:p>
    <w:p>
      <w:pPr>
        <w:pStyle w:val="Compact"/>
        <w:numPr>
          <w:ilvl w:val="0"/>
          <w:numId w:val="1001"/>
        </w:numPr>
      </w:pPr>
      <w:r>
        <w:rPr>
          <w:b/>
          <w:bCs/>
        </w:rPr>
        <w:t xml:space="preserve">Arnés de evaluación reproducible.</w:t>
      </w:r>
      <w:r>
        <w:t xml:space="preserve"> </w:t>
      </w:r>
      <w:r>
        <w:t xml:space="preserve">Un protocolo unificado que integra holdout temporal, bloques espaciales, bootstrap agrupado por fecha, análisis de lead time, cobertura conformal y evaluación cost-loss.</w:t>
      </w:r>
    </w:p>
    <w:p>
      <w:pPr>
        <w:pStyle w:val="Compact"/>
        <w:numPr>
          <w:ilvl w:val="0"/>
          <w:numId w:val="1001"/>
        </w:numPr>
      </w:pPr>
      <w:r>
        <w:rPr>
          <w:b/>
          <w:bCs/>
        </w:rPr>
        <w:t xml:space="preserve">Software y datos abiertos.</w:t>
      </w:r>
      <w:r>
        <w:t xml:space="preserve"> </w:t>
      </w:r>
      <w:r>
        <w:t xml:space="preserve">Un pipeline vectorizado zero-copy en Polars/DuckDB con código público, DOI archivados y pruebas automatizadas.</w:t>
      </w:r>
    </w:p>
    <w:p>
      <w:pPr>
        <w:pStyle w:val="FirstParagraph"/>
      </w:pPr>
      <w:r>
        <w:t xml:space="preserve">La novedad es computacional e infraestructural más que algorítmica: D2 formaliza el contrato del objetivo, la inferencia con gating define la política operativa y el software expone ese contrato a otros aprendices. La contribución geocientífica es un benchmark transferible y controlado contra fugas: el FWI completo y el INPE se prueban bajo el mismo protocolo D2 en el Gran Chaco, y se reportan explícitamente los límites temporales y espaciales del modelo híbrido. El caso nacional es un banco de pruebas para regiones subtropicales con escasez de datos; no afirmamos validez universal.</w:t>
      </w:r>
    </w:p>
    <w:p>
      <w:pPr>
        <w:pStyle w:val="BodyText"/>
      </w:pPr>
      <w:r>
        <w:t xml:space="preserve">El resto del artículo se organiza como sigue. La Sección 2 define el operador D2, el gate biofísico, la arquitectura de inferencia desacoplada y el arnés de evaluación. La Sección 3 reporta la selección en validación 2023, el test retrospectivo 2024–2025, el benchmark frente a FWI e INPE, los análisis de generalización espacial y temporal y el valor operativo. La Sección 4 discute por qué fallan los índices canónicos, qué aporta el desacoplamiento y dónde falla, y las limitaciones del estudio. La Sección 5 concluye.</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&amp;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Definimos una familia preespecificada de seis comparaciones confirmatorias (cuatro frente a FWI e INPE y dos M3 − M2) y reportamos valores p ajustados por Holm–Bonferroni y Benjamini–Hochberg; todas siguen siendo significativas con α = 0.05 (Holm p = 0.006, BH p = 0.001). La resolución del bootstrap es 0.001, por lo que los valores p crudos en el piso son cotas superiores. El protocolo se aplica sin modificar el test. El operador de objetivos, la lista de celdas-día de test y los scripts de evaluación están archivados con la release del código. El protocolo completo se reporta en la Nota complementaria S3 y las Tablas S7–S14; el protocolo de robustez está en la Nota S5.</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w:t>
      </w:r>
      <w:r>
        <w:t xml:space="preserve"> </w:t>
      </w:r>
      <w:r>
        <w:t xml:space="preserve">(Schroeder et al., 2014)</w:t>
      </w:r>
      <w:r>
        <w:t xml:space="preserve">; meteorología ERA5-Land de 3 horas agregada a valores diarios</w:t>
      </w:r>
      <w:r>
        <w:t xml:space="preserve"> </w:t>
      </w:r>
      <w:r>
        <w:t xml:space="preserve">(Muñoz-Sabater et al., 2021)</w:t>
      </w:r>
      <w:r>
        <w:t xml:space="preserve">; mapas anuales de MapBiomas Colección 2 (2017–2023), unidos a cada fila con el mapa del año previo</w:t>
      </w:r>
      <w:r>
        <w:t xml:space="preserve"> </w:t>
      </w:r>
      <w:r>
        <w:t xml:space="preserve">(MapBiomas Chaco, 2023)</w:t>
      </w:r>
      <w:r>
        <w:t xml:space="preserve">;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w:t>
      </w:r>
      <w:r>
        <w:t xml:space="preserve"> </w:t>
      </w:r>
      <w:r>
        <w:t xml:space="preserve">(Raasveldt &amp; Mühleisen, 2019)</w:t>
      </w:r>
      <w:r>
        <w:t xml:space="preserve">. Un spatial join de 50 000 puntos se muestra solo como referencia (Tabla S4 del suplemento); la búsqueda operativa evita el point-in-polygon en inferencia. El pipeline completo de inferencia procesa 400 006 celdas en 3.474 s con 2 212.9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6"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(IC bootstrap 95 % 0.075–0.088) en el Chaco y 0.198 % (0.178–0.222) en la Región Oriental; el recall es 27.3 % (26.2–28.6) y 20.7 % (19.3–22.3). La precisión de propagación es 9.67 % (9.09–10.32) y 4.78 % (4.13–5.49). Estos valores son los relevantes para la operación y son mucho más bajos que los valores caso-control. Respecto a la prevalencia, la precisión de ignición es aproximadamente 5.4× y 4.8× superior al azar, mientras que la de propagación es aproximadamente 62× y 23× superior. La precisión absoluta sigue siendo baja; el modelo es, por tanto, una capa de priorización y nowcast, no un sistema de alerta autónomo. La Figura S8 muestra el compromiso precisión–presupuesto: con 100 alertas/día, la precisión de ignición de M3 es 0.21 %/0.66 % y la de propagación 22.1 %/10.0 %; con 1 000 alertas/día baja a 0.15 %/0.28 % y 5.1 %/3.3 %.</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+0.2848 en el Chaco y +0.1970 en la Región Oriental, y al INPE por +0.2633 y +0.2544. Todas las comparaciones pareadas tienen p crudo ≤ 0.001 con B = 1 000; el p ajustado por Holm es 0.006 y el de BH 0.001, por lo que las seis siguen siendo significativas con α = 0.05. Para que la comparación sea simétrica, los puntos operativos de FWI e INPE se seleccionaron en la misma partición de validación de 2023 con la regla F0.5 idéntica a la de los modelos y luego se congelaron para el test retrospectivo (</w:t>
      </w:r>
      <w:hyperlink w:anchor="tbl-benchmark">
        <w:r>
          <w:rPr>
            <w:rStyle w:val="Hyperlink"/>
          </w:rPr>
          <w:t xml:space="preserve">Tabla 3</w:t>
        </w:r>
      </w:hyperlink>
      <w:r>
        <w:t xml:space="preserve">); los cortes resultantes son 0.3029 y 0.8963 en el Chaco y 2.1509 y 0.0750 en Oriental para FWI e INPE, respectivamente. La implementación completa, incluidos los códigos de combustible, la inicialización y la meteorología del mismo día, se documenta en la Nota S4 del suplemento.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Los cortes de todas las filas, incluidos FWI e INPE, se seleccionaron en la validación de 2023 maximizando F0.5 y se congelaron para 2024–2025; la precisión y el recall son caso-control en ese corte. El FWI está en la escala del índice canadiense y el INPE en una escala de riesgo 0–1, por lo que los cortes no son comparables entre índices. El GBT solo meteorología es un LightGBM entrenado con la misma capacidad y calibración pero restringido al conjunto de información del FWI. Los guiones (—) indican modelos de referencia o comparaciones no evaluadas por construcción. La columna p reporta valores crudos; el p ajustado por Holm es 0.006 para la familia de seis comparaciones confirmatorias (Tabla S7 del suplemento). La tabla completa está en la Tabla S11 del suplemento.</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 (crudo)</w:t>
                  </w:r>
                </w:p>
              </w:tc>
              <w:tc>
                <w:tcPr/>
                <w:p>
                  <w:pPr>
                    <w:pStyle w:val="Compact"/>
                    <w:jc w:val="right"/>
                    <w:jc w:val="center"/>
                  </w:pPr>
                  <w:r>
                    <w:t xml:space="preserve">Corte</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Chaco</w:t>
                  </w:r>
                </w:p>
              </w:tc>
              <w:tc>
                <w:tcPr/>
                <w:p>
                  <w:pPr>
                    <w:pStyle w:val="Compact"/>
                    <w:jc w:val="left"/>
                    <w:jc w:val="center"/>
                  </w:pPr>
                  <w:r>
                    <w:t xml:space="preserve">GBT solo meteorología</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GBT solo meteorología</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0.5173/0.5564 y el INPE de 0.5389/0.4990;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Como la implementación del INPE pondera A por fracciones de cobertura (la especificación primaria), repetimos el benchmark con A fija = 3.0 (el coeficiente INPE de sabana abierta, fijado a priori). La versión fija alcanza ROC-AUC 0.4979/0.5497 frente a 0.5389/0.4990 con A local (ΔROC = −0.0409/+0.0508; p = 0.001; Tabla S22). El signo de la diferencia depende de la región, pero ambas versiones quedan muy por debajo de M3 (0.8021/0.7534), por lo que el débil desempeño del INPE no es un artefacto de la ponderación local de A. Combinar los dos índices con el conjunto completo de variables de M3 no cierra la brecha: el GBT aumentado alcanza ROC-AUC 0.8013/0.7547 frente a 0.8021/0.7534 de M3 (Δ = −0.0009/+0.0013; p = 0.182/0.001; Tabla S11 continuación). Una vez que existen combustible, accesibilidad y contexto histórico, los índices no aportan información de ranking esencial; en Oriental la pequeña ganancia es estadísticamente detectable pero operativamente despreciable.</w:t>
      </w:r>
    </w:p>
    <w:p>
      <w:pPr>
        <w:pStyle w:val="BodyText"/>
      </w:pPr>
      <w:r>
        <w:t xml:space="preserve">El control solo meteorología aísla el origen de la brecha. Un LightGBM entrenado con la misma capacidad, calibración y regla de corte pero restringido al conjunto de información del FWI (temperatura, demanda atmosférica, viento, lluvia, FFMC e ISI) alcanza ROC-AUC 0.5512/0.5645 (Chaco/Oriental), solo +0.0339/+0.0081 por encima del FWI completo y muy por debajo de M3 (0.8021/0.7534; ΔROC = +0.2509/+0.1889, p ≤ 0.001). El fallo de los índices canónicos es, por tanto, una limitación de información y no un artefacto de su formulación o del aprendiz: sin combustible, accesibilidad ni priors antropogénicos, un aprendiz moderno de boosting recupera esencialmente el mismo techo que el índice. Los detalles completos están en la Tabla S21 del suplemento.</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32.82 % frente a 33.28 % de M2; en Oriental es 30.13 % frente a 26.09 %. La ventaja no es uniforme y no se presenta como una mejora de precisión en ambas regiones. La tabla completa de ablación está en la Tabla S12 del suplemento. TreeSHAP</w:t>
      </w:r>
      <w:r>
        <w:t xml:space="preserve"> </w:t>
      </w:r>
      <w:r>
        <w:t xml:space="preserve">(Lundberg et al., 2020)</w:t>
      </w:r>
      <w:r>
        <w:t xml:space="preserve"> </w:t>
      </w:r>
      <w:r>
        <w:t xml:space="preserve">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al INPE y al GBT solo meteorología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Como el test es temporal, el 90.65 % de sus celdas también aparece en entrenamiento. Al restringir a celdas nunca vistas en entrenamiento (n = 23 074/9 378; 2 115/882 positivos), el ROC-AUC de M3 baja de 0.8021/0.7534 a 0.7841/0.7148 y el de M2 de 0.7991/0.7406 a 0.7781/0.7089, pero el orden M3 &gt; M2 se mantiene en ROC-AUC (+0.0060/+0.0059; bootstrap pareado p = 0.004/0.174) y en PR-AUC (+0.0152/+0.0133; p = 0.012/0.018). Excluir las celdas con cualquier fuego en entrenamiento mantiene el diferencial de ROC positivo y resuelto (p = 0.008/≤0.001); en 2025 el diferencial es positivo pero solo se resuelve en Oriental (p = 0.120/≤0.001). En el dominio sin historia el signo se invierte por región: M2 va por delante en el Chaco (Δ = −0.0035, p = 0.002) y M3 en Oriental (Δ = +0.0101, p ≤ 0.001). La caída es modesta, pero el subconjunto de celdas no vistas es pequeño, espacialmente sesgado y no sustituye a un holdout espacial ciego (Tabla S27 del suplemento).</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 Un backtest rolling-origin de cuatro folds reentrenó M1/M2/M3 con entrenamiento hasta Y−2, validación en Y−1 y test en Y. La diferencia de ROC-AUC M3−M2 fue +0.0030/+0.0059 en 2022, +0.0029/+0.0120 en 2023, +0.0038/+0.0166 en 2024 y +0.0019/+0.0084 en 2025 (Chaco/Oriental); los p correspondientes fueron 0.032/0.006, 0.082/0.001, 0.004/0.001 y 0.148/0.001. El signo fue positivo en las ocho comparaciones región-fold, y M1 quedó por debajo de M2 en todos los folds (Tabla S26; Figura S5). El orden temporal no es, por tanto, un artefacto del único split 2024–2025. En 20 corridas (cinco semillas × dos capacidades × dos regiones), la diferencia M3−M2 se mantuvo positiva en todas, con diferencias medias de +0.0036/+0.0035 en el Chaco y +0.0128/+0.0128 en Oriental para las configuraciones actual/alta capacidad (Tabla S25). La validación adversarial separa las filas de entrenamiento (2018–2022) de las de test (2024–2025) con AUC 0.8832/0.9241 (Chaco/Oriental); el día del año, los armónicos estacionales, la densidad histórica a 25 km y el déficit hídrico de 60 días dominan el discriminador (Tabla S29). El cambio de distribución es real y no lo elimina el diseño temporal; por eso los resultados espaciales y de todas las celdas se reportan por separado. Tres sensibilidades adicionales acotan el resultado. Umbrales de gate más estrictos (VPD ≥ 1.0/1.2 kPa y lluvia 48 h &lt; 5/2 mm) retuvieron 92–73 % de los positivos de test y mantuvieron a M3 por encima de M2 y FWI; quitar el gate por completo (muestra 1:10 independiente) bajó M3 a 0.7924/0.7510 y M2 a 0.7833/0.7379, pero M3 siguió por encima de M2 (+0.0091/+0.0131) y de FWI (0.5105/0.5457; Tabla S31). Restringir las etiquetas a detecciones de confianza alta retuvo 12.2 %/6.5 % de los positivos y elevó el ROC-AUC a 0.8228/0.7793, pero la precisión–recall cayó (0.0719/0.0246) porque el subconjunto retenido tiene otra prevalencia; FRP ≥ 10 MW retuvo 31.9 %/19.0 % y dio 0.8136/0.7763 (Tabla S30). La variante de máscara de nubes no está disponible. El muestreo 1:5 cambió el ROC-AUC en menos de 0.001; la muestra 1:20 independiente bajó el ROC-AUC de M3 en el Chaco a 0.7926 y la precisión poblacional ~7 %, mientras Oriental quedó estable (0.7526), y M3 siguió por encima de M2 en ambas regiones (Tabla S28). Un control negativo con etiquetas permutadas alcanzó AUC 0.6297/0.5138; quitar las variables históricas no lo redujo (0.6276/0.5168), lo que indica asociación residual de celda o fuga de variables en el Chaco (Tabla S32; Figura S7). El score de M3 debe leerse, por tanto, como una señal de nowcast/priorización, no como una atribución causal. La validación espacial externa en Boquerón, tras excluir el departamento y un buffer de 25 km y recalcular los priors, reprodujo la discriminación M2/M3 (ROC-AUC 0.8104/0.8120; PR-AUC 0.2440/0.2505) pero no una ganancia M3−M2 significativa (+0.0016; p = 0.254). El FWI quedó por debajo del azar (0.4719) y el INPE alcanzó 0.5845 (Tabla S33; Figura S9). La precisión poblacional fue 0.0891 %/0.0678 % para M2/M3, con recall 16.2 %/27.1 %; M3 cambia precisión por recall. La diferencia M3−M2 fue +0.0039 (p = 0.010) con buffer de 20 km, +0.0016 (p = 0.254) con 25 km y +0.0020 (p = 0.206) con 30 km (Tabla S33b), por lo que la ventaja híbrida no es robusta al buffer. El ranking se transporta espacialmente, pero la preferencia operativa por M3 frente a M2 no.</w:t>
      </w:r>
    </w:p>
    <w:bookmarkEnd w:id="38"/>
    <w:bookmarkStart w:id="43" w:name="valor-operativo"/>
    <w:p>
      <w:pPr>
        <w:pStyle w:val="Heading2"/>
      </w:pPr>
      <w:r>
        <w:t xml:space="preserve">3.4 Valor operativo</w:t>
      </w:r>
    </w:p>
    <w:p>
      <w:pPr>
        <w:pStyle w:val="FirstParagraph"/>
      </w:pPr>
      <w:r>
        <w:t xml:space="preserve">El análisis cost-loss es sobrio para la ignición: en el Chaco, M3 y M2 son indistinguibles en todos los α (los intervalos pareados de ΔV incluyen cero) y la estimación puntual de M2 es marginalmente superior en el óptimo (0.373 frente a 0.372). En Oriental, M3 supera a M2 para α = 0.0002–0.005. Frente al FWI, M3 tiene valor de decisión positivo para α = 0.0001–0.001 en el Chaco y 0.0001–0.005 en Oriental (los intervalos pareados excluyen cero; Tabla S24 del suplemento). La capa de propagación sí muestra valor cerca de</w:t>
      </w:r>
      <w:r>
        <w:t xml:space="preserve"> </w:t>
      </w:r>
      <w:r>
        <w:rPr>
          <w:i/>
          <w:iCs/>
        </w:rPr>
        <w:t xml:space="preserve">α</w:t>
      </w:r>
      <w:r>
        <w:t xml:space="preserve"> </w:t>
      </w:r>
      <w:r>
        <w:t xml:space="preserve">= 0.002: V = 0.628 [0.608–0.646] en el Chaco y 0.399 [0.371–0.419] en Oriental, con intervalos que excluyen cero. La tabla y las curvas completas, con bandas bootstrap del 95 % agrupadas por fecha (B = 1 000), están en la Tabla S14 y la Figura S3 del suplemento. El producto operativo prioriza, por tanto, la propagación y usa la ignición como capa de cribado: la ignición aporta valor de decisión frente al FWI en α bajo, pero no frente a M2 en el Chaco.</w:t>
      </w:r>
    </w:p>
    <w:p>
      <w:pPr>
        <w:pStyle w:val="BodyText"/>
      </w:pPr>
      <w:r>
        <w:t xml:space="preserve">El análisis de curvas de decisión sobre la muestra caso-control (Figura S4; Tabla S23) reproduce el orden: con</w:t>
      </w:r>
      <w:r>
        <w:t xml:space="preserve"> </w:t>
      </w:r>
      <m:oMath>
        <m:sSub>
          <m:e>
            <m:r>
              <m:t>p</m:t>
            </m:r>
          </m:e>
          <m:sub>
            <m:r>
              <m:t>t</m:t>
            </m:r>
          </m:sub>
        </m:sSub>
        <m:r>
          <m:rPr>
            <m:sty m:val="p"/>
          </m:rPr>
          <m:t>=</m:t>
        </m:r>
        <m:r>
          <m:t>0.10</m:t>
        </m:r>
      </m:oMath>
      <w:r>
        <w:t xml:space="preserve">, M3 rinde 37.6/29.4 detecciones netas por 1 000 celdas-día muestreadas, M2 37.7/27.3, M1 13.5/19.9 y FWI 0.1/2.8 (Chaco/Oriental); el modelo de propagación sigue siendo positivo hasta</w:t>
      </w:r>
      <w:r>
        <w:t xml:space="preserve"> </w:t>
      </w:r>
      <m:oMath>
        <m:sSub>
          <m:e>
            <m:r>
              <m:t>p</m:t>
            </m:r>
          </m:e>
          <m:sub>
            <m:r>
              <m:t>t</m:t>
            </m:r>
          </m:sub>
        </m:sSub>
        <m:r>
          <m:rPr>
            <m:sty m:val="p"/>
          </m:rPr>
          <m:t>≈</m:t>
        </m:r>
        <m:r>
          <m:t>0.7</m:t>
        </m:r>
      </m:oMath>
      <w:r>
        <w:t xml:space="preserve">. Como el beneficio neto se calcula sobre la muestra caso-control, complementa el valor de decisión ponderado por población de la Tabla S14.</w:t>
      </w:r>
    </w:p>
    <w:p>
      <w:pPr>
        <w:pStyle w:val="BodyText"/>
      </w:pPr>
      <w:r>
        <w:t xml:space="preserve">En términos operativos (Tabla S23), con el corte de ignición congelado M3 emite 8 238/3 073 alertas por día en Chaco/Oriental con una precisión poblacional de 0.082/0.198 % (1 227/504 alertas por acierto; lift 5.3×/4.8×). Un presupuesto de 100 alertas/día eleva la precisión de ignición solo a 0.21/0.66 % (recall 0.86/2.24 %), lo que confirma que la ignición es una capa de cribado. La propagación requiere 10.3/20.9 alertas por acierto (lift 62×/23×) con 452/525 alertas/día; con 100/día su precisión es 22.1/10.0 % y su recall 25.7/7.5 %. El α que maximiza V(α) es 0.0001–0.0005 para ignición y 0.002 para propagación. El corte F0.5 no es el único privilegiado. Seleccionar cortes por F1, F2 o Youden cambia el punto operativo pero no la conclusión (Tabla S14 continuación; Figura S6). Para la ignición M3 en el Chaco, precisión/recall pasan de 0.328/0.303 con F0.5 a 0.273/0.494 con F1 y 0.182/0.815 con F2; en Oriental pasan de 0.301/0.186 a 0.235/0.390 y 0.173/0.699. La propagación sigue siendo la capa más fuerte: en Chaco la precisión/recall es 0.837/0.524 con F0.5 y 0.515/0.702 con F2; en Oriental 0.650/0.199 y 0.215/0.632. El orden cribado/propagación es, por tanto, robusto al criterio de umbral.</w:t>
      </w:r>
    </w:p>
    <w:p>
      <w:pPr>
        <w:pStyle w:val="BodyText"/>
      </w:pPr>
      <w:r>
        <w:t xml:space="preserve">En sus puntos operativos F0.5 congelados, FWI e INPE tienen valor de decisión positivo solo en una ventana estrecha de α bajo (0.0001–0.0005) y negativo para α ≥ 0.001 (V recortado en −1); incluso en esa ventana quedan muy por debajo de M3/M2 (Chaco FWI 0.069 frente a M3 0.372 con α = 0.0001; Oriental FWI 0.095 frente a M3 0.313 con α = 0.0005). Dar a los índices su mejor umbral de validación en cada α no cambia el orden (Tabla S24). La ventaja de AUC de M3 se traduce, por tanto, en valor de decisión frente a los índices, pero no de forma uniforme frente a M2.</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alibración"/>
    <w:p>
      <w:pPr>
        <w:pStyle w:val="Heading2"/>
      </w:pPr>
      <w:r>
        <w:t xml:space="preserve">3.5 Calibración</w:t>
      </w:r>
    </w:p>
    <w:p>
      <w:pPr>
        <w:pStyle w:val="FirstParagraph"/>
      </w:pPr>
      <w:r>
        <w:t xml:space="preserve">El error de calibración esperado de M3 es 0.0082/0.0082 en Chaco/Oriental (Tabla S11), y 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bookmarkEnd w:id="44"/>
    <w:bookmarkStart w:id="45" w:name="comprobaciones-de-reproducibilidad"/>
    <w:p>
      <w:pPr>
        <w:pStyle w:val="Heading2"/>
      </w:pPr>
      <w:r>
        <w:t xml:space="preserve">3.6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v2.1.0; los DOI conceptuales de código y datos se reportan en las secciones de disponibilidad.</w:t>
      </w:r>
    </w:p>
    <w:bookmarkEnd w:id="45"/>
    <w:bookmarkEnd w:id="46"/>
    <w:bookmarkStart w:id="51" w:name="discusión"/>
    <w:p>
      <w:pPr>
        <w:pStyle w:val="Heading1"/>
      </w:pPr>
      <w:r>
        <w:t xml:space="preserve">4. Discusión</w:t>
      </w:r>
    </w:p>
    <w:bookmarkStart w:id="47"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no puede representar esa interacción. El FWI canadiense fue originalmente diseñado para rodales boreales de coníferas, y dos de sus tres códigos de humedad de combustible (el Duff Moisture Code y el Drought Code) modelan explícitamente el secado lento y la recarga por lluvia de capas orgánicas poco y muy compactadas a lo largo de días o semanas</w:t>
      </w:r>
      <w:r>
        <w:t xml:space="preserve"> </w:t>
      </w:r>
      <w:r>
        <w:t xml:space="preserve">(Flannigan et al., 2016; Van Wagner, 1987)</w:t>
      </w:r>
      <w:r>
        <w:t xml:space="preserve">. En el Chaco semiárido, los combustibles portantes son pastos finos y arbustos que responden en horas a la demanda atmosférica, mientras que el patrón espacial de ignición está gobernado por fuentes ligadas al manejo del territorio y al acceso. El FWI es puramente meteorológico; la formulación del INPE usada aquí incorpora fracciones de cobertura, pero ninguno de los dos contiene la información antrópica y de accesibilidad a escala fina que domina la ignición en el Chaco, y su capacidad de ranking colapsa hacia el azar bajo una evaluación D2 desacoplada.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 Estos índices no solo rankean peor: dondequiera que alguno siga siendo positivo, también generan menos valor de decisión que M3 (Tabla S14).</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pirogeográficos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7"/>
    <w:bookmarkStart w:id="48"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w:t>
      </w:r>
      <w:r>
        <w:t xml:space="preserve"> </w:t>
      </w:r>
      <w:r>
        <w:rPr>
          <w:i/>
          <w:iCs/>
        </w:rPr>
        <w:t xml:space="preserve">t</w:t>
      </w:r>
      <w:r>
        <w:t xml:space="preserve">−1 y un holdout de bloques espaciales es la principal contribución metodológica. Un control negativo con etiquetas permutadas afina este punto. Reentrenar M3 con etiquetas de entrenamiento permutadas da AUC 0.6297/0.5138, y quitar las variables históricas no lo reduce (0.6276/0.5168). Un control sin fuga debería estar cerca de 0.5. El exceso en el Chaco indica, por tanto, información residual de celda o de variables: no prueba que el ranking principal sea erróneo, pero obliga a evitar una lectura causal y a auditar los priors históricos y los descriptores estáticos de celda. El control se reporta en la Tabla S32 y la Figura S7.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 Una cuarta visión, el valor de decisión, pregunta si el ranking sobrevive a una relación cost-loss; es la visión que determina el uso operativo.</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Los árboles de boosting de gradiente se conservaron no como una afirmación de superioridad arquitectónica, sino porque permiten imponer restricciones monótonas físicas explícitas y ejecutar la inferencia nacional completa en CPUs de uso común (Sección 2.4), que es la restricción operativa que este estudio aborda.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w:t>
      </w:r>
      <w:r>
        <w:t xml:space="preserve"> </w:t>
      </w:r>
      <w:r>
        <w:rPr>
          <w:i/>
          <w:iCs/>
        </w:rPr>
        <w:t xml:space="preserve">t</w:t>
      </w:r>
      <w:r>
        <w:t xml:space="preserve">−1,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8"/>
    <w:bookmarkStart w:id="49"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9"/>
    <w:bookmarkStart w:id="50" w:name="limitaciones"/>
    <w:p>
      <w:pPr>
        <w:pStyle w:val="Heading2"/>
      </w:pPr>
      <w:r>
        <w:t xml:space="preserve">4.4 Limitaciones</w:t>
      </w:r>
    </w:p>
    <w:p>
      <w:pPr>
        <w:pStyle w:val="FirstParagraph"/>
      </w:pPr>
      <w:r>
        <w:t xml:space="preserve">Varias limitaciones acotan la interpretación de este estudio:</w:t>
      </w:r>
    </w:p>
    <w:p>
      <w:pPr>
        <w:pStyle w:val="Compact"/>
        <w:numPr>
          <w:ilvl w:val="0"/>
          <w:numId w:val="1004"/>
        </w:numPr>
      </w:pPr>
      <w:r>
        <w:rPr>
          <w:b/>
          <w:bCs/>
        </w:rPr>
        <w:t xml:space="preserve">Restricciones de datos y observación.</w:t>
      </w:r>
      <w:r>
        <w:t xml:space="preserve"> </w:t>
      </w:r>
      <w:r>
        <w:t xml:space="preserve">El estudio cubre dos macro-regiones de Paraguay e incluye solo una prueba exploratoria entre países en Formosa; esa prueba no alcanzó el umbral pre-registrado de transporte y no es una validación multi-país completa. La caracterización del combustible se basa en la serie anual de MapBiomas Colección 2 (2017–2023) unida por año previo, de modo que 2024 usa el mapa de 2023 con un año de rezago y 2025 lo extrapola con dos años de rezago. Los objetivos de fuego activo dependen de detecciones VIIRS, que pueden omitir incendios subdosel o cubiertos por nubes al no existir un modelo de observación explícito, mientras que los insumos ERA5-Land (0.25°, 3 horas) pueden suavizar picos locales intradía de VPD y viento.</w:t>
      </w:r>
    </w:p>
    <w:p>
      <w:pPr>
        <w:pStyle w:val="Compact"/>
        <w:numPr>
          <w:ilvl w:val="0"/>
          <w:numId w:val="1004"/>
        </w:numPr>
      </w:pPr>
      <w:r>
        <w:rPr>
          <w:b/>
          <w:bCs/>
        </w:rPr>
        <w:t xml:space="preserve">Límites estadísticos y de generalización.</w:t>
      </w:r>
      <w:r>
        <w:t xml:space="preserve"> </w:t>
      </w:r>
      <w:r>
        <w:t xml:space="preserve">Aunque la sensibilidad D2 con radios de 15/25/35 km y ventanas de 7/10/14 días confirmó que el ranking de modelos es estable bajo reentrenamiento completo (Tabla S20 del suplemento), el test 2024–2025 es retrospectivo y no ciego, y comparte el 90.65 % de sus celdas activas con el período de entrenamiento por solapamiento temporal; restringir a celdas nunca vistas en entrenamiento reduce el ROC-AUC de M3 en 0.018/0.039 pero mantiene un diferencial positivo M3 &gt; M2 en ROC-AUC y PR-AUC, aunque el de ROC-AUC no se resuelve en Oriental (Tabla S27 del suplemento). La validación adversarial alcanza AUC 0.8832/0.9241, lo que confirma que el cambio temporal es sustancial y está impulsado principalmente por variables estacionales y de densidad histórica (Tabla S29). Un control negativo con etiquetas permutadas sigue por encima del azar en el Chaco (0.63), por lo que no se puede excluir una señal residual de celda o histórica; el score es una señal de nowcast, no una atribución causal. M3 pierde su ventaja predictiva en bloques espaciales no vistos, lo que exige a M2 como respaldo operativo mientras M1 sigue siendo una línea base insuficiente; El test de Boquerón es dentro de Paraguay y aporta métricas poblacionales derivadas; el piloto entre países en Formosa fue exploratorio, usó otra fuente climática (CDS/Hargreaves) y no alcanzó el umbral de transporte, por lo que la pequeña ganancia de M3 allí no es evidencia de superioridad entre países. la cobertura conformal (90.17 %/90.31 % para el nivel del 90 %) es empírica y no está formalmente garantizada bajo cambio temporal; y el comparador acoplado</w:t>
      </w:r>
      <w:r>
        <w:t xml:space="preserve"> </w:t>
      </w:r>
      <w:r>
        <w:rPr>
          <w:i/>
          <w:iCs/>
        </w:rPr>
        <w:t xml:space="preserve">t</w:t>
      </w:r>
      <w:r>
        <w:t xml:space="preserve">−1 (Tabla S19 del suplemento) se evaluó sobre la misma muestra caso-control con gating, por lo que no prueba la eliminación del filtro biofísico.</w:t>
      </w:r>
    </w:p>
    <w:p>
      <w:pPr>
        <w:pStyle w:val="Compact"/>
        <w:numPr>
          <w:ilvl w:val="0"/>
          <w:numId w:val="1004"/>
        </w:numPr>
      </w:pPr>
      <w:r>
        <w:rPr>
          <w:b/>
          <w:bCs/>
        </w:rPr>
        <w:t xml:space="preserve">Alcance operativo y de software.</w:t>
      </w:r>
      <w:r>
        <w:t xml:space="preserve"> </w:t>
      </w:r>
      <w:r>
        <w:t xml:space="preserve">Dado que el pipeline usa meteorología observada hasta el día</w:t>
      </w:r>
      <w:r>
        <w:t xml:space="preserve"> </w:t>
      </w:r>
      <w:r>
        <w:rPr>
          <w:i/>
          <w:iCs/>
        </w:rPr>
        <w:t xml:space="preserve">t</w:t>
      </w:r>
      <w:r>
        <w:t xml:space="preserve">, funciona como nowcast/hindcast y no como un pronóstico a un día respaldado por predicción numérica del tiempo. La precisión poblacional de ignición es muy baja (0.082 %/0.198 %; IC 95 % 0.075–0.088/0.178–0.222), cost-loss no muestra una ventaja clara de M3 sobre M2 para ignición y las capas de alerta aún no se han evaluado prospectivamente con una agencia operativa. Por último, transferir el pipeline a otro país requeriría reconstruir la grilla de 1 km², los priors históricos y los metadatos de prevalencia, y el lock de dependencias fijado registra versiones exactas de paquetes sin hashes de ruedas específicos de plataforma (documentado en el repositorio de código).</w:t>
      </w:r>
    </w:p>
    <w:bookmarkEnd w:id="50"/>
    <w:bookmarkEnd w:id="51"/>
    <w:bookmarkStart w:id="52" w:name="conclusiones"/>
    <w:p>
      <w:pPr>
        <w:pStyle w:val="Heading1"/>
      </w:pPr>
      <w:r>
        <w:t xml:space="preserve">5. Conclusiones</w:t>
      </w:r>
    </w:p>
    <w:p>
      <w:pPr>
        <w:pStyle w:val="FirstParagraph"/>
      </w:pPr>
      <w:r>
        <w:t xml:space="preserve">Presentamos un marco computacional reproducible para el benchmarking desacoplado de la ignición y la propagación de incendios en el Gran Chaco y la Región Oriental del Paraguay. El operador de objetivos D2 separa la ignición primaria de la persistencia multidiaria, la arquitectura M3/M2 con gating combina un nowcast temporal consciente de la recurrencia con un respaldo espacialmente robusto, y el arnés de evaluación hace auditable cada comparación. En la validación de 2023, M3 alcanzó un ROC-AUC de 0.7844/0.7628 (Chaco/Oriental), mientras que M2 fue el más robusto tanto en los bloques espaciales de desarrollo (0.6773/0.7470) como en los de confirmación independiente (0.6871/0.6621; Tabla S18 del suplemento), lo que justifica reemplazar al baseline biofísico M1 como respaldo operativo. En el test retrospectivo 2024–2025, M3 superó ampliamente al FWI canadiense completo (0.8021/0.7534 frente a 0.5173/0.5564) y al Risco de Fogo del INPE (0.5389/0.4990), y el desacoplamiento no sacrificó discriminación frente a un comparador acoplado</w:t>
      </w:r>
      <w:r>
        <w:t xml:space="preserve"> </w:t>
      </w:r>
      <w:r>
        <w:rPr>
          <w:i/>
          <w:iCs/>
        </w:rPr>
        <w:t xml:space="preserve">t</w:t>
      </w:r>
      <w:r>
        <w:t xml:space="preserve">−1 (Tabla S19 del suplemento). No obstante, la precisión poblacional de ignición sigue siendo baja (0.082 %/0.198 %; IC 95 % 0.075–0.088/0.178–0.222) y la ventaja híbrida es estrictamente temporal y no espacial. Los análisis de curvas de decisión y cost-loss ubican la ganancia operativa en la propagación (V = 0.63/0.40 con α = 0.002) y en la ignición solo como capa de cribado de α bajo, lo que sitúa al sistema como una herramienta operativa de cribado y priorización y no como un sistema de alerta autónomo. Un control negativo con etiquetas permutadas sigue por encima del azar en el Chaco (0.63), por lo que este ranking es una señal de nowcast y no una atribución causal. Un test externo leave-one-department-out en Boquerón reprodujo la discriminación M2/M3 (0.8104/0.8120) pero no una ganancia M3−M2 significativa (+0.0016, p = 0.254); el FWI quedó por debajo del azar (0.4719) y el INPE alcanzó 0.5845. En última instancia, el aporte principal de este trabajo no es un mapa único de susceptibilidad, sino un protocolo abierto y auditable —archivado con código y datos públicos— que muestra dónde es válido un modelo geocientífico, dónde falla y cómo extender el benchmark a otras regiones subtropicales y a pronósticos meteorológicos a un día.</w:t>
      </w:r>
    </w:p>
    <w:bookmarkEnd w:id="52"/>
    <w:bookmarkStart w:id="55" w:name="disponibilidad-de-datos"/>
    <w:p>
      <w:pPr>
        <w:pStyle w:val="Heading1"/>
      </w:pPr>
      <w:r>
        <w:t xml:space="preserve">6. Disponibilidad de datos</w:t>
      </w:r>
    </w:p>
    <w:p>
      <w:pPr>
        <w:pStyle w:val="FirstParagraph"/>
      </w:pPr>
      <w:r>
        <w:t xml:space="preserve">Los datos procesados, las predicciones de test, los modelos entrenados y las tablas derivadas están disponibles en el release v2.1.0 de GitHub (</w:t>
      </w:r>
      <w:hyperlink r:id="rId53">
        <w:r>
          <w:rPr>
            <w:rStyle w:val="Hyperlink"/>
          </w:rPr>
          <w:t xml:space="preserve">https://github.com/sanchezmartin093-code/Incendios_PY/releases/tag/v2.1.0</w:t>
        </w:r>
      </w:hyperlink>
      <w:r>
        <w:t xml:space="preserve">; asset</w:t>
      </w:r>
      <w:r>
        <w:t xml:space="preserve"> </w:t>
      </w:r>
      <w:r>
        <w:rPr>
          <w:rStyle w:val="VerbatimChar"/>
        </w:rPr>
        <w:t xml:space="preserve">Incendios_PY_data_v2.1.0.zip</w:t>
      </w:r>
      <w:r>
        <w:t xml:space="preserve">) bajo CC BY 4.0, y se documentan bajo el DOI conceptual de datos</w:t>
      </w:r>
      <w:r>
        <w:t xml:space="preserve"> </w:t>
      </w:r>
      <w:hyperlink r:id="rId54">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5"/>
    <w:bookmarkStart w:id="56"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6"/>
    <w:bookmarkStart w:id="57"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7"/>
    <w:bookmarkStart w:id="58"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8"/>
    <w:bookmarkStart w:id="59"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9"/>
    <w:bookmarkStart w:id="60"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60"/>
    <w:bookmarkStart w:id="63"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1">
        <w:r>
          <w:rPr>
            <w:rStyle w:val="Hyperlink"/>
          </w:rPr>
          <w:t xml:space="preserve">https://github.com/sanchezmartin093-code/Incendios_PY</w:t>
        </w:r>
      </w:hyperlink>
      <w:r>
        <w:br/>
      </w:r>
      <w:r>
        <w:rPr>
          <w:b/>
          <w:bCs/>
        </w:rPr>
        <w:t xml:space="preserve">DOI conceptual del código (última versión):</w:t>
      </w:r>
      <w:r>
        <w:t xml:space="preserve"> </w:t>
      </w:r>
      <w:hyperlink r:id="rId62">
        <w:r>
          <w:rPr>
            <w:rStyle w:val="Hyperlink"/>
          </w:rPr>
          <w:t xml:space="preserve">10.5281/zenodo.23675104</w:t>
        </w:r>
      </w:hyperlink>
      <w:r>
        <w:br/>
      </w:r>
      <w:r>
        <w:rPr>
          <w:b/>
          <w:bCs/>
        </w:rPr>
        <w:t xml:space="preserve">DOI conceptual de los datos (última versión):</w:t>
      </w:r>
      <w:r>
        <w:t xml:space="preserve"> </w:t>
      </w:r>
      <w:hyperlink r:id="rId54">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3"/>
    <w:bookmarkStart w:id="116" w:name="referencias"/>
    <w:p>
      <w:pPr>
        <w:pStyle w:val="Heading1"/>
      </w:pPr>
      <w:r>
        <w:t xml:space="preserve">Referencias</w:t>
      </w:r>
    </w:p>
    <w:bookmarkStart w:id="115" w:name="refs"/>
    <w:bookmarkStart w:id="65"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4">
        <w:r>
          <w:rPr>
            <w:rStyle w:val="Hyperlink"/>
          </w:rPr>
          <w:t xml:space="preserve">https://doi.org/10.3390/rs10091438</w:t>
        </w:r>
      </w:hyperlink>
    </w:p>
    <w:bookmarkEnd w:id="65"/>
    <w:bookmarkStart w:id="67"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6">
        <w:r>
          <w:rPr>
            <w:rStyle w:val="Hyperlink"/>
          </w:rPr>
          <w:t xml:space="preserve">https://doi.org/10.3390/s20226442</w:t>
        </w:r>
      </w:hyperlink>
    </w:p>
    <w:bookmarkEnd w:id="67"/>
    <w:bookmarkStart w:id="69"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8">
        <w:r>
          <w:rPr>
            <w:rStyle w:val="Hyperlink"/>
          </w:rPr>
          <w:t xml:space="preserve">https://doi.org/10.1111/gcb.13521</w:t>
        </w:r>
      </w:hyperlink>
    </w:p>
    <w:bookmarkEnd w:id="69"/>
    <w:bookmarkStart w:id="71"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0">
        <w:r>
          <w:rPr>
            <w:rStyle w:val="Hyperlink"/>
          </w:rPr>
          <w:t xml:space="preserve">https://doi.org/10.1111/j.2007.0906-7590.05171.x</w:t>
        </w:r>
      </w:hyperlink>
    </w:p>
    <w:bookmarkEnd w:id="71"/>
    <w:bookmarkStart w:id="73"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2">
        <w:r>
          <w:rPr>
            <w:rStyle w:val="Hyperlink"/>
          </w:rPr>
          <w:t xml:space="preserve">https://doi.org/10.1071/WF08187</w:t>
        </w:r>
      </w:hyperlink>
    </w:p>
    <w:bookmarkEnd w:id="73"/>
    <w:bookmarkStart w:id="75"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74">
        <w:r>
          <w:rPr>
            <w:rStyle w:val="Hyperlink"/>
          </w:rPr>
          <w:t xml:space="preserve">https://doi.org/10.1007/s10584-015-1521-0</w:t>
        </w:r>
      </w:hyperlink>
    </w:p>
    <w:bookmarkEnd w:id="75"/>
    <w:bookmarkStart w:id="77"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6">
        <w:r>
          <w:rPr>
            <w:rStyle w:val="Hyperlink"/>
          </w:rPr>
          <w:t xml:space="preserve">https://doi.org/10.1126/science.1244693</w:t>
        </w:r>
      </w:hyperlink>
    </w:p>
    <w:bookmarkEnd w:id="77"/>
    <w:bookmarkStart w:id="79"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8">
        <w:r>
          <w:rPr>
            <w:rStyle w:val="Hyperlink"/>
          </w:rPr>
          <w:t xml:space="preserve">https://doi.org/10.1139/er-2020-0019</w:t>
        </w:r>
      </w:hyperlink>
    </w:p>
    <w:bookmarkEnd w:id="79"/>
    <w:bookmarkStart w:id="81"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80">
        <w:r>
          <w:rPr>
            <w:rStyle w:val="Hyperlink"/>
          </w:rPr>
          <w:t xml:space="preserve">https://doi.org/10.1038/ncomms8537</w:t>
        </w:r>
      </w:hyperlink>
    </w:p>
    <w:bookmarkEnd w:id="81"/>
    <w:bookmarkStart w:id="82"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2"/>
    <w:bookmarkStart w:id="84"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3">
        <w:r>
          <w:rPr>
            <w:rStyle w:val="Hyperlink"/>
          </w:rPr>
          <w:t xml:space="preserve">https://doi.org/10.2307/1939924</w:t>
        </w:r>
      </w:hyperlink>
    </w:p>
    <w:bookmarkEnd w:id="84"/>
    <w:bookmarkStart w:id="86"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5">
        <w:r>
          <w:rPr>
            <w:rStyle w:val="Hyperlink"/>
          </w:rPr>
          <w:t xml:space="preserve">https://doi.org/10.1038/s42256-019-0138-9</w:t>
        </w:r>
      </w:hyperlink>
    </w:p>
    <w:bookmarkEnd w:id="86"/>
    <w:bookmarkStart w:id="88"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7">
        <w:r>
          <w:rPr>
            <w:rStyle w:val="Hyperlink"/>
          </w:rPr>
          <w:t xml:space="preserve">https://chaco.mapbiomas.org/</w:t>
        </w:r>
      </w:hyperlink>
      <w:r>
        <w:t xml:space="preserve">.</w:t>
      </w:r>
    </w:p>
    <w:bookmarkEnd w:id="88"/>
    <w:bookmarkStart w:id="90"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89">
        <w:r>
          <w:rPr>
            <w:rStyle w:val="Hyperlink"/>
          </w:rPr>
          <w:t xml:space="preserve">https://doi.org/10.5194/essd-13-4349-2021</w:t>
        </w:r>
      </w:hyperlink>
    </w:p>
    <w:bookmarkEnd w:id="90"/>
    <w:bookmarkStart w:id="92"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91">
        <w:r>
          <w:rPr>
            <w:rStyle w:val="Hyperlink"/>
          </w:rPr>
          <w:t xml:space="preserve">https://doi.org/10.1145/1102351.1102430</w:t>
        </w:r>
      </w:hyperlink>
    </w:p>
    <w:bookmarkEnd w:id="92"/>
    <w:bookmarkStart w:id="94"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93">
        <w:r>
          <w:rPr>
            <w:rStyle w:val="Hyperlink"/>
          </w:rPr>
          <w:t xml:space="preserve">https://doi.org/10.1016/j.pecon.2021.06.005</w:t>
        </w:r>
      </w:hyperlink>
    </w:p>
    <w:bookmarkEnd w:id="94"/>
    <w:bookmarkStart w:id="95"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5"/>
    <w:bookmarkStart w:id="97"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6">
        <w:r>
          <w:rPr>
            <w:rStyle w:val="Hyperlink"/>
          </w:rPr>
          <w:t xml:space="preserve">https://doi.org/10.1038/s41467-020-18321-y</w:t>
        </w:r>
      </w:hyperlink>
    </w:p>
    <w:bookmarkEnd w:id="97"/>
    <w:bookmarkStart w:id="99"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8">
        <w:r>
          <w:rPr>
            <w:rStyle w:val="Hyperlink"/>
          </w:rPr>
          <w:t xml:space="preserve">https://doi.org/10.1145/3299869.3320212</w:t>
        </w:r>
      </w:hyperlink>
    </w:p>
    <w:bookmarkEnd w:id="99"/>
    <w:bookmarkStart w:id="101"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00">
        <w:r>
          <w:rPr>
            <w:rStyle w:val="Hyperlink"/>
          </w:rPr>
          <w:t xml:space="preserve">https://doi.org/10.1111/ecog.02881</w:t>
        </w:r>
      </w:hyperlink>
    </w:p>
    <w:bookmarkEnd w:id="101"/>
    <w:bookmarkStart w:id="103"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02">
        <w:r>
          <w:rPr>
            <w:rStyle w:val="Hyperlink"/>
          </w:rPr>
          <w:t xml:space="preserve">https://doi.org/10.5772/28441</w:t>
        </w:r>
      </w:hyperlink>
    </w:p>
    <w:bookmarkEnd w:id="103"/>
    <w:bookmarkStart w:id="105"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04">
        <w:r>
          <w:rPr>
            <w:rStyle w:val="Hyperlink"/>
          </w:rPr>
          <w:t xml:space="preserve">https://doi.org/10.1016/j.rse.2013.12.008</w:t>
        </w:r>
      </w:hyperlink>
    </w:p>
    <w:bookmarkEnd w:id="105"/>
    <w:bookmarkStart w:id="107"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6">
        <w:r>
          <w:rPr>
            <w:rStyle w:val="Hyperlink"/>
          </w:rPr>
          <w:t xml:space="preserve">http://queimadas.dgi.inpe.br</w:t>
        </w:r>
      </w:hyperlink>
    </w:p>
    <w:bookmarkEnd w:id="107"/>
    <w:bookmarkStart w:id="109"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8">
        <w:r>
          <w:rPr>
            <w:rStyle w:val="Hyperlink"/>
          </w:rPr>
          <w:t xml:space="preserve">https://doi.org/10.5558/tfc65258-4</w:t>
        </w:r>
      </w:hyperlink>
    </w:p>
    <w:bookmarkEnd w:id="109"/>
    <w:bookmarkStart w:id="111"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10">
        <w:r>
          <w:rPr>
            <w:rStyle w:val="Hyperlink"/>
          </w:rPr>
          <w:t xml:space="preserve">https://doi.org/10.2307/143141</w:t>
        </w:r>
      </w:hyperlink>
    </w:p>
    <w:bookmarkEnd w:id="111"/>
    <w:bookmarkStart w:id="113"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12">
        <w:r>
          <w:rPr>
            <w:rStyle w:val="Hyperlink"/>
          </w:rPr>
          <w:t xml:space="preserve">https://doi.org/10.1016/j.jaridenv.2014.11.009</w:t>
        </w:r>
      </w:hyperlink>
    </w:p>
    <w:bookmarkEnd w:id="113"/>
    <w:bookmarkStart w:id="114"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1.0" TargetMode="External" /></Relationships>
</file>

<file path=word/_rels/footnotes.xml.rels><?xml version="1.0" encoding="UTF-8"?><Relationships xmlns="http://schemas.openxmlformats.org/package/2006/relationships"><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2026-10-29T00:08:25Z</dcterms:created>
  <dcterms:modified xsi:type="dcterms:W3CDTF">2026-10-29T00:08:25Z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