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7.png" ContentType="image/png"/>
  <Override PartName="/word/media/rId53.png" ContentType="image/png"/>
  <Override PartName="/word/media/rId44.png" ContentType="image/png"/>
  <Override PartName="/word/media/rId56.png" ContentType="image/png"/>
  <Override PartName="/word/media/rId50.png" ContentType="image/png"/>
  <Override PartName="/word/media/rId5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2026-10-28</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Notes S1–S5, Tables S1–S34c and Figures S1–S10.</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v2.1.0).</w:t>
      </w:r>
      <w:r>
        <w:br/>
      </w:r>
      <w:r>
        <w:rPr>
          <w:b/>
          <w:bCs/>
        </w:rPr>
        <w:t xml:space="preserve">Data:</w:t>
      </w:r>
      <w:r>
        <w:t xml:space="preserve"> </w:t>
      </w:r>
      <w:r>
        <w:t xml:space="preserve">processed data and test predictions are available in the v2.1.0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Note S4:</w:t>
      </w:r>
      <w:r>
        <w:t xml:space="preserve"> </w:t>
      </w:r>
      <w:r>
        <w:t xml:space="preserve">Implementation of the FWI and INPE indices.</w:t>
      </w:r>
    </w:p>
    <w:p>
      <w:pPr>
        <w:pStyle w:val="BodyText"/>
      </w:pPr>
      <w:r>
        <w:t xml:space="preserve">•</w:t>
      </w:r>
      <w:r>
        <w:t xml:space="preserve"> </w:t>
      </w:r>
      <w:r>
        <w:rPr>
          <w:b/>
          <w:bCs/>
        </w:rPr>
        <w:t xml:space="preserve">Note S5:</w:t>
      </w:r>
      <w:r>
        <w:t xml:space="preserve"> </w:t>
      </w:r>
      <w:r>
        <w:t xml:space="preserve">Robustness analyses.</w:t>
      </w:r>
    </w:p>
    <w:p>
      <w:pPr>
        <w:pStyle w:val="BodyText"/>
      </w:pPr>
      <w:r>
        <w:t xml:space="preserve">•</w:t>
      </w:r>
      <w:r>
        <w:t xml:space="preserve"> </w:t>
      </w:r>
      <w:r>
        <w:rPr>
          <w:b/>
          <w:bCs/>
        </w:rPr>
        <w:t xml:space="preserve">Tables S1–S34c:</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an INPE A sensitivity, a train/test overlap sensitivity, a net-benefit decision table, a paired decision-value test, seed/capacity stability, a rolling-origin backtest, an adversarial validation, gate and label sensitivities, a sampling-ratio sensitivity and a negative control, an external spatial validation in Boquerón and an exploratory cross-country validation in Formosa and its classic FWI/INPE benchmark.</w:t>
      </w:r>
    </w:p>
    <w:p>
      <w:pPr>
        <w:pStyle w:val="BodyText"/>
      </w:pPr>
      <w:r>
        <w:t xml:space="preserve">•</w:t>
      </w:r>
      <w:r>
        <w:t xml:space="preserve"> </w:t>
      </w:r>
      <w:r>
        <w:rPr>
          <w:b/>
          <w:bCs/>
        </w:rPr>
        <w:t xml:space="preserve">Figures S1–S10:</w:t>
      </w:r>
      <w:r>
        <w:t xml:space="preserve"> </w:t>
      </w:r>
      <w:r>
        <w:t xml:space="preserve">SHAP, ablation, cost-loss, net benefit, rolling-origin, threshold sensitivity, permutation importance, external validation, alert-budget precision and the Formosa cross-country ROC/PR curves.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15"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and its continuation, paired significance in Table S7, the complete spatial block results in Table S8 and the lead-time results in Table S9. Seed/capacity stability, the rolling-origin backtest and adversarial validation are in Tables S25, S26 and S29 and Figure S5; threshold sensitivity is in Table S14 (continuation) and Figure S6.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bookmarkEnd w:id="15"/>
    <w:bookmarkStart w:id="26" w:name="Xb6611448e9d2a090f71a8b213f9d978c2fda83b"/>
    <w:p>
      <w:pPr>
        <w:pStyle w:val="Heading1"/>
      </w:pPr>
      <w:r>
        <w:t xml:space="preserve">Supplementary Note S4. Implementation of the FWI and INPE indices</w:t>
      </w:r>
    </w:p>
    <w:p>
      <w:pPr>
        <w:pStyle w:val="FirstParagraph"/>
      </w:pPr>
      <w:r>
        <w:t xml:space="preserve">This note documents the two benchmark indices exactly as they are implemented. The full Canadian FWI is produced by</w:t>
      </w:r>
      <w:r>
        <w:t xml:space="preserve"> </w:t>
      </w:r>
      <w:r>
        <w:rPr>
          <w:rStyle w:val="VerbatimChar"/>
        </w:rPr>
        <w:t xml:space="preserve">scripts/02d_calcular_fwi_completo.py</w:t>
      </w:r>
      <w:r>
        <w:t xml:space="preserve"> </w:t>
      </w:r>
      <w:r>
        <w:t xml:space="preserve">from</w:t>
      </w:r>
      <w:r>
        <w:t xml:space="preserve"> </w:t>
      </w:r>
      <w:r>
        <w:rPr>
          <w:rStyle w:val="VerbatimChar"/>
        </w:rPr>
        <w:t xml:space="preserve">src/fwi.py</w:t>
      </w:r>
      <w:r>
        <w:t xml:space="preserve">; the INPE Risco de Fogo by</w:t>
      </w:r>
      <w:r>
        <w:t xml:space="preserve"> </w:t>
      </w:r>
      <w:r>
        <w:rPr>
          <w:rStyle w:val="VerbatimChar"/>
        </w:rPr>
        <w:t xml:space="preserve">scripts/02e_calcular_inpe.py</w:t>
      </w:r>
      <w:r>
        <w:t xml:space="preserve"> </w:t>
      </w:r>
      <w:r>
        <w:t xml:space="preserve">from</w:t>
      </w:r>
      <w:r>
        <w:t xml:space="preserve"> </w:t>
      </w:r>
      <w:r>
        <w:rPr>
          <w:rStyle w:val="VerbatimChar"/>
        </w:rPr>
        <w:t xml:space="preserve">src/inpe.py</w:t>
      </w:r>
      <w:r>
        <w:t xml:space="preserve">; the benchmark joins both to the 1-km grid by</w:t>
      </w:r>
      <w:r>
        <w:t xml:space="preserve"> </w:t>
      </w:r>
      <w:r>
        <w:rPr>
          <w:rStyle w:val="VerbatimChar"/>
        </w:rPr>
        <w:t xml:space="preserve">nodo_clima_id</w:t>
      </w:r>
      <w:r>
        <w:t xml:space="preserve"> </w:t>
      </w:r>
      <w:r>
        <w:t xml:space="preserve">and</w:t>
      </w:r>
      <w:r>
        <w:t xml:space="preserve"> </w:t>
      </w:r>
      <w:r>
        <w:rPr>
          <w:rStyle w:val="VerbatimChar"/>
        </w:rPr>
        <w:t xml:space="preserve">fecha</w:t>
      </w:r>
      <w:r>
        <w:t xml:space="preserve"> </w:t>
      </w:r>
      <w:r>
        <w:t xml:space="preserve">in</w:t>
      </w:r>
      <w:r>
        <w:t xml:space="preserve"> </w:t>
      </w:r>
      <w:r>
        <w:rPr>
          <w:rStyle w:val="VerbatimChar"/>
        </w:rPr>
        <w:t xml:space="preserve">scripts/13_benchmarking_modelos.py</w:t>
      </w:r>
      <w:r>
        <w:t xml:space="preserve">. Neither index was fitted to the fire labels.</w:t>
      </w:r>
    </w:p>
    <w:bookmarkStart w:id="20" w:name="s4.1-canadian-fire-weather-index"/>
    <w:p>
      <w:pPr>
        <w:pStyle w:val="Heading2"/>
      </w:pPr>
      <w:r>
        <w:t xml:space="preserve">S4.1 Canadian Fire Weather Index</w:t>
      </w:r>
    </w:p>
    <w:bookmarkStart w:id="16" w:name="fuel-codes"/>
    <w:p>
      <w:pPr>
        <w:pStyle w:val="Heading3"/>
      </w:pPr>
      <w:r>
        <w:t xml:space="preserve">Fuel codes</w:t>
      </w:r>
    </w:p>
    <w:p>
      <w:pPr>
        <w:pStyle w:val="FirstParagraph"/>
      </w:pPr>
      <w:r>
        <w:t xml:space="preserve">The standard six-code system is implemented without a custom fuel type:</w:t>
      </w:r>
    </w:p>
    <w:p>
      <w:pPr>
        <w:pStyle w:val="Compact"/>
        <w:numPr>
          <w:ilvl w:val="0"/>
          <w:numId w:val="1001"/>
        </w:numPr>
      </w:pPr>
      <w:r>
        <w:rPr>
          <w:b/>
          <w:bCs/>
        </w:rPr>
        <w:t xml:space="preserve">FFMC (Fine Fuel Moisture Code):</w:t>
      </w:r>
      <w:r>
        <w:t xml:space="preserve"> </w:t>
      </w:r>
      <w:r>
        <w:t xml:space="preserve">moisture of surface litter and fine fuels (approximately the top 1–2 cm); scale 0–101.</w:t>
      </w:r>
    </w:p>
    <w:p>
      <w:pPr>
        <w:pStyle w:val="Compact"/>
        <w:numPr>
          <w:ilvl w:val="0"/>
          <w:numId w:val="1001"/>
        </w:numPr>
      </w:pPr>
      <w:r>
        <w:rPr>
          <w:b/>
          <w:bCs/>
        </w:rPr>
        <w:t xml:space="preserve">DMC (Duff Moisture Code):</w:t>
      </w:r>
      <w:r>
        <w:t xml:space="preserve"> </w:t>
      </w:r>
      <w:r>
        <w:t xml:space="preserve">moisture of the loosely compacted organic layer; medium-term drying.</w:t>
      </w:r>
    </w:p>
    <w:p>
      <w:pPr>
        <w:pStyle w:val="Compact"/>
        <w:numPr>
          <w:ilvl w:val="0"/>
          <w:numId w:val="1001"/>
        </w:numPr>
      </w:pPr>
      <w:r>
        <w:rPr>
          <w:b/>
          <w:bCs/>
        </w:rPr>
        <w:t xml:space="preserve">DC (Drought Code):</w:t>
      </w:r>
      <w:r>
        <w:t xml:space="preserve"> </w:t>
      </w:r>
      <w:r>
        <w:t xml:space="preserve">moisture of the deep, compacted organic layer; seasonal drought storage.</w:t>
      </w:r>
    </w:p>
    <w:p>
      <w:pPr>
        <w:pStyle w:val="Compact"/>
        <w:numPr>
          <w:ilvl w:val="0"/>
          <w:numId w:val="1001"/>
        </w:numPr>
      </w:pPr>
      <w:r>
        <w:rPr>
          <w:b/>
          <w:bCs/>
        </w:rPr>
        <w:t xml:space="preserve">BUI (Buildup Index):</w:t>
      </w:r>
      <w:r>
        <w:t xml:space="preserve"> </w:t>
      </w:r>
      <w:r>
        <w:t xml:space="preserve">fuel available for combustion, derived from DMC and DC.</w:t>
      </w:r>
    </w:p>
    <w:p>
      <w:pPr>
        <w:pStyle w:val="Compact"/>
        <w:numPr>
          <w:ilvl w:val="0"/>
          <w:numId w:val="1001"/>
        </w:numPr>
      </w:pPr>
      <w:r>
        <w:rPr>
          <w:b/>
          <w:bCs/>
        </w:rPr>
        <w:t xml:space="preserve">ISI (Initial Spread Index):</w:t>
      </w:r>
      <w:r>
        <w:t xml:space="preserve"> </w:t>
      </w:r>
      <w:r>
        <w:t xml:space="preserve">initial spread potential, derived from FFMC and wind.</w:t>
      </w:r>
    </w:p>
    <w:p>
      <w:pPr>
        <w:pStyle w:val="Compact"/>
        <w:numPr>
          <w:ilvl w:val="0"/>
          <w:numId w:val="1001"/>
        </w:numPr>
      </w:pPr>
      <w:r>
        <w:rPr>
          <w:b/>
          <w:bCs/>
        </w:rPr>
        <w:t xml:space="preserve">FWI (Fire Weather Index):</w:t>
      </w:r>
      <w:r>
        <w:t xml:space="preserve"> </w:t>
      </w:r>
      <w:r>
        <w:t xml:space="preserve">frontal fire intensity, derived from ISI and BUI.</w:t>
      </w:r>
    </w:p>
    <w:bookmarkEnd w:id="16"/>
    <w:bookmarkStart w:id="17" w:name="equations"/>
    <w:p>
      <w:pPr>
        <w:pStyle w:val="Heading3"/>
      </w:pPr>
      <w:r>
        <w:t xml:space="preserve">Equations</w:t>
      </w:r>
    </w:p>
    <w:p>
      <w:pPr>
        <w:pStyle w:val="FirstParagraph"/>
      </w:pPr>
      <w:r>
        <w:t xml:space="preserve">Let</w:t>
      </w:r>
      <w:r>
        <w:t xml:space="preserve"> </w:t>
      </w:r>
      <m:oMath>
        <m:sSub>
          <m:e>
            <m:r>
              <m:t>F</m:t>
            </m:r>
          </m:e>
          <m:sub>
            <m:r>
              <m:t>t</m:t>
            </m:r>
          </m:sub>
        </m:sSub>
      </m:oMath>
      <w:r>
        <w:t xml:space="preserve">,</w:t>
      </w:r>
      <w:r>
        <w:t xml:space="preserve"> </w:t>
      </w:r>
      <m:oMath>
        <m:sSub>
          <m:e>
            <m:r>
              <m:t>D</m:t>
            </m:r>
          </m:e>
          <m:sub>
            <m:r>
              <m:t>t</m:t>
            </m:r>
          </m:sub>
        </m:sSub>
      </m:oMath>
      <w:r>
        <w:t xml:space="preserve"> </w:t>
      </w:r>
      <w:r>
        <w:t xml:space="preserve">and</w:t>
      </w:r>
      <w:r>
        <w:t xml:space="preserve"> </w:t>
      </w:r>
      <m:oMath>
        <m:sSub>
          <m:e>
            <m:r>
              <m:t>Q</m:t>
            </m:r>
          </m:e>
          <m:sub>
            <m:r>
              <m:t>t</m:t>
            </m:r>
          </m:sub>
        </m:sSub>
      </m:oMath>
      <w:r>
        <w:t xml:space="preserve"> </w:t>
      </w:r>
      <w:r>
        <w:t xml:space="preserve">be FFMC, DMC and DC on day</w:t>
      </w:r>
      <w:r>
        <w:t xml:space="preserve"> </w:t>
      </w:r>
      <m:oMath>
        <m:r>
          <m:t>t</m:t>
        </m:r>
      </m:oMath>
      <w:r>
        <w:t xml:space="preserve">; let</w:t>
      </w:r>
      <w:r>
        <w:t xml:space="preserve"> </w:t>
      </w:r>
      <m:oMath>
        <m:r>
          <m:t>T</m:t>
        </m:r>
      </m:oMath>
      <w:r>
        <w:t xml:space="preserve"> </w:t>
      </w:r>
      <w:r>
        <w:t xml:space="preserve">be the 15:00 UTC temperature (°C),</w:t>
      </w:r>
      <w:r>
        <w:t xml:space="preserve"> </w:t>
      </w:r>
      <m:oMath>
        <m:r>
          <m:t>H</m:t>
        </m:r>
      </m:oMath>
      <w:r>
        <w:t xml:space="preserve"> </w:t>
      </w:r>
      <w:r>
        <w:t xml:space="preserve">the corresponding relative humidity (%),</w:t>
      </w:r>
      <w:r>
        <w:t xml:space="preserve"> </w:t>
      </w:r>
      <m:oMath>
        <m:r>
          <m:t>W</m:t>
        </m:r>
      </m:oMath>
      <w:r>
        <w:t xml:space="preserve"> </w:t>
      </w:r>
      <w:r>
        <w:t xml:space="preserve">the 10-m wind speed (km h</w:t>
      </w:r>
      <m:oMath>
        <m:sSup>
          <m:e>
            <m:r>
              <m:t>​</m:t>
            </m:r>
          </m:e>
          <m:sup>
            <m:r>
              <m:rPr>
                <m:sty m:val="p"/>
              </m:rPr>
              <m:t>−</m:t>
            </m:r>
            <m:r>
              <m:t>1</m:t>
            </m:r>
          </m:sup>
        </m:sSup>
      </m:oMath>
      <w:r>
        <w:t xml:space="preserve">) and</w:t>
      </w:r>
      <w:r>
        <w:t xml:space="preserve"> </w:t>
      </w:r>
      <m:oMath>
        <m:r>
          <m:t>r</m:t>
        </m:r>
      </m:oMath>
      <w:r>
        <w:t xml:space="preserve"> </w:t>
      </w:r>
      <w:r>
        <w:t xml:space="preserve">the 00–24 h rainfall (mm). The recursion is applied per node in chronological order.</w:t>
      </w:r>
    </w:p>
    <w:p>
      <w:pPr>
        <w:pStyle w:val="BodyText"/>
      </w:pPr>
      <w:r>
        <w:t xml:space="preserve">The fine-fuel moisture content is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For</w:t>
      </w:r>
      <w:r>
        <w:t xml:space="preserve"> </w:t>
      </w:r>
      <m:oMath>
        <m:r>
          <m:t>r</m:t>
        </m:r>
        <m:r>
          <m:rPr>
            <m:sty m:val="p"/>
          </m:rPr>
          <m:t>&gt;</m:t>
        </m:r>
        <m:r>
          <m:t>0.5</m:t>
        </m:r>
      </m:oMath>
      <w:r>
        <w:t xml:space="preserve"> </w:t>
      </w:r>
      <w:r>
        <w:t xml:space="preserve">mm, with</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where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is the small correction term coded in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is capped at 250. The equilibrium moisture contents are</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The drying and wetting rates are</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The moisture content after one day is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otherwise,</m:t>
                    </m:r>
                  </m:e>
                </m:mr>
              </m:m>
            </m:e>
          </m:d>
        </m:oMath>
      </m:oMathPara>
    </w:p>
    <w:p>
      <w:pPr>
        <w:pStyle w:val="FirstParagraph"/>
      </w:pPr>
      <w:r>
        <w:t xml:space="preserve">and</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For DMC, when</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1.5</m:t>
          </m:r>
          <m:r>
            <m:rPr>
              <m:sty m:val="p"/>
            </m:rPr>
            <m:t>,</m:t>
          </m:r>
          <m:r>
            <m:t>  </m:t>
          </m:r>
          <m:sSub>
            <m:e>
              <m:r>
                <m:t>m</m:t>
              </m:r>
            </m:e>
            <m:sub>
              <m:r>
                <m:t>0</m:t>
              </m:r>
            </m:sub>
          </m:sSub>
          <m:r>
            <m:rPr>
              <m:sty m:val="p"/>
            </m:rPr>
            <m:t>=</m:t>
          </m:r>
          <m:r>
            <m:t>20</m:t>
          </m:r>
          <m:r>
            <m:rPr>
              <m:sty m:val="p"/>
            </m:rPr>
            <m:t>+</m:t>
          </m:r>
          <m:sSup>
            <m:e>
              <m:r>
                <m:t>e</m:t>
              </m:r>
            </m:e>
            <m:sup>
              <m:r>
                <m:t>5.6348</m:t>
              </m:r>
              <m:r>
                <m:rPr>
                  <m:sty m:val="p"/>
                </m:rPr>
                <m:t>−</m:t>
              </m:r>
              <m:sSub>
                <m:e>
                  <m:r>
                    <m:t>D</m:t>
                  </m:r>
                </m:e>
                <m:sub>
                  <m:r>
                    <m:t>t</m:t>
                  </m:r>
                  <m:r>
                    <m:rPr>
                      <m:sty m:val="p"/>
                    </m:rPr>
                    <m:t>−</m:t>
                  </m:r>
                  <m:r>
                    <m:t>1</m:t>
                  </m:r>
                </m:sub>
              </m:sSub>
              <m:r>
                <m:rPr>
                  <m:sty m:val="p"/>
                </m:rPr>
                <m:t>/</m:t>
              </m:r>
              <m:r>
                <m:t>43.43</m:t>
              </m:r>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244.72</m:t>
          </m:r>
          <m:r>
            <m:rPr>
              <m:sty m:val="p"/>
            </m:rPr>
            <m:t>−</m:t>
          </m:r>
          <m:r>
            <m:t>43.43</m:t>
          </m:r>
          <m:r>
            <m:rPr>
              <m:sty m:val="p"/>
            </m:rPr>
            <m:t>ln</m:t>
          </m:r>
          <m:r>
            <m:rPr>
              <m:sty m:val="p"/>
            </m:rPr>
            <m:t>(</m:t>
          </m:r>
          <m:sSub>
            <m:e>
              <m:r>
                <m:t>m</m:t>
              </m:r>
            </m:e>
            <m:sub>
              <m:r>
                <m:t>r</m:t>
              </m:r>
            </m:sub>
          </m:sSub>
          <m:r>
            <m:rPr>
              <m:sty m:val="p"/>
            </m:rPr>
            <m:t>−</m:t>
          </m:r>
          <m:r>
            <m:t>20</m:t>
          </m:r>
          <m:r>
            <m:rPr>
              <m:sty m:val="p"/>
            </m:rPr>
            <m:t>)</m:t>
          </m:r>
          <m:r>
            <m:rPr>
              <m:sty m:val="p"/>
            </m:rPr>
            <m:t>,</m:t>
          </m:r>
        </m:oMath>
      </m:oMathPara>
    </w:p>
    <w:p>
      <w:pPr>
        <w:pStyle w:val="FirstParagraph"/>
      </w:pPr>
      <w:r>
        <w:t xml:space="preserve">with</w:t>
      </w:r>
      <w:r>
        <w:t xml:space="preserve"> </w:t>
      </w:r>
      <m:oMath>
        <m:sSup>
          <m:e>
            <m:r>
              <m:t>D</m:t>
            </m:r>
          </m:e>
          <m:sup>
            <m:r>
              <m:rPr>
                <m:sty m:val="p"/>
              </m:rPr>
              <m:t>′</m:t>
            </m:r>
          </m:sup>
        </m:sSup>
      </m:oMath>
      <w:r>
        <w:t xml:space="preserve"> </w:t>
      </w:r>
      <w:r>
        <w:t xml:space="preserve">floored at zero; when</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The daily update uses</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sSub>
            <m:e>
              <m:r>
                <m:t>L</m:t>
              </m:r>
            </m:e>
            <m:sub>
              <m:r>
                <m:t>e</m:t>
              </m:r>
            </m:sub>
          </m:sSub>
          <m:r>
            <m:rPr>
              <m:sty m:val="p"/>
            </m:rPr>
            <m:t>=</m:t>
          </m:r>
          <m:sSup>
            <m:e>
              <m:r>
                <m:t>e</m:t>
              </m:r>
            </m:e>
            <m:sup>
              <m:r>
                <m:t>2</m:t>
              </m:r>
              <m:r>
                <m:rPr>
                  <m:sty m:val="p"/>
                </m:rPr>
                <m:t>−</m:t>
              </m:r>
              <m:r>
                <m:t>0.2</m:t>
              </m:r>
              <m:sSub>
                <m:e>
                  <m:r>
                    <m:t>H</m:t>
                  </m:r>
                </m:e>
                <m:sub>
                  <m:r>
                    <m:t>c</m:t>
                  </m:r>
                </m:sub>
              </m:sSub>
              <m:r>
                <m:rPr>
                  <m:sty m:val="p"/>
                </m:rPr>
                <m:t>/</m:t>
              </m:r>
              <m:r>
                <m:t>100</m:t>
              </m:r>
            </m:sup>
          </m:sSup>
          <m:r>
            <m:rPr>
              <m:sty m:val="p"/>
            </m:rPr>
            <m:t>,</m:t>
          </m:r>
          <m:r>
            <m:t>  </m:t>
          </m:r>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6</m:t>
              </m:r>
            </m:sup>
          </m:sSup>
          <m:r>
            <m:rPr>
              <m:sty m:val="p"/>
            </m:rPr>
            <m:t>,</m:t>
          </m:r>
          <m:r>
            <m:t>  </m:t>
          </m:r>
          <m:sSub>
            <m:e>
              <m:r>
                <m:t>D</m:t>
              </m:r>
            </m:e>
            <m:sub>
              <m:r>
                <m:t>t</m:t>
              </m:r>
            </m:sub>
          </m:sSub>
          <m:r>
            <m:rPr>
              <m:sty m:val="p"/>
            </m:rPr>
            <m:t>=</m:t>
          </m:r>
          <m:sSup>
            <m:e>
              <m:r>
                <m:t>D</m:t>
              </m:r>
            </m:e>
            <m:sup>
              <m:r>
                <m:rPr>
                  <m:sty m:val="p"/>
                </m:rPr>
                <m:t>′</m:t>
              </m:r>
            </m:sup>
          </m:sSup>
          <m:sSup>
            <m:e>
              <m:r>
                <m:t>10</m:t>
              </m:r>
            </m:e>
            <m:sup>
              <m:r>
                <m:t>K</m:t>
              </m:r>
            </m:sup>
          </m:sSup>
          <m:r>
            <m:rPr>
              <m:sty m:val="p"/>
            </m:rPr>
            <m:t>.</m:t>
          </m:r>
        </m:oMath>
      </m:oMathPara>
    </w:p>
    <w:p>
      <w:pPr>
        <w:pStyle w:val="FirstParagraph"/>
      </w:pPr>
      <w:r>
        <w:t xml:space="preserve">For DC, when</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with</w:t>
      </w:r>
      <w:r>
        <w:t xml:space="preserve"> </w:t>
      </w:r>
      <m:oMath>
        <m:sSub>
          <m:e>
            <m:r>
              <m:t>Q</m:t>
            </m:r>
          </m:e>
          <m:sub>
            <m:r>
              <m:t>0</m:t>
            </m:r>
          </m:sub>
        </m:sSub>
      </m:oMath>
      <w:r>
        <w:t xml:space="preserve"> </w:t>
      </w:r>
      <w:r>
        <w:t xml:space="preserve">capped at 800 and</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otherwise</w:t>
      </w:r>
      <w:r>
        <w:t xml:space="preserve"> </w:t>
      </w:r>
      <m:oMath>
        <m:sSup>
          <m:e>
            <m:r>
              <m:t>Q</m:t>
            </m:r>
          </m:e>
          <m:sup>
            <m:r>
              <m:rPr>
                <m:sty m:val="p"/>
              </m:rPr>
              <m:t>′</m:t>
            </m:r>
          </m:sup>
        </m:sSup>
        <m:r>
          <m:rPr>
            <m:sty m:val="p"/>
          </m:rPr>
          <m:t>=</m:t>
        </m:r>
        <m:sSub>
          <m:e>
            <m:r>
              <m:t>Q</m:t>
            </m:r>
          </m:e>
          <m:sub>
            <m:r>
              <m:t>t</m:t>
            </m:r>
            <m:r>
              <m:rPr>
                <m:sty m:val="p"/>
              </m:rPr>
              <m:t>−</m:t>
            </m:r>
            <m:r>
              <m:t>1</m:t>
            </m:r>
          </m:sub>
        </m:sSub>
      </m:oMath>
      <w:r>
        <w:t xml:space="preserve">. Then</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BUI is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otherwise.</m:t>
                    </m:r>
                  </m:e>
                </m:mr>
              </m:m>
            </m:e>
          </m:d>
        </m:oMath>
      </m:oMathPara>
    </w:p>
    <w:p>
      <w:pPr>
        <w:pStyle w:val="FirstParagraph"/>
      </w:pPr>
      <w:r>
        <w:t xml:space="preserve">ISI is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Finally,</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meteorology-timing-and-resolution"/>
    <w:p>
      <w:pPr>
        <w:pStyle w:val="Heading3"/>
      </w:pPr>
      <w:r>
        <w:t xml:space="preserve">Meteorology, timing and resolution</w:t>
      </w:r>
    </w:p>
    <w:p>
      <w:pPr>
        <w:pStyle w:val="FirstParagraph"/>
      </w:pPr>
      <w:r>
        <w:t xml:space="preserve">The 15:00 UTC fields (approximately local noon) are extracted from the ERA5-Land 3-hourly archive</w:t>
      </w:r>
      <w:r>
        <w:t xml:space="preserve"> </w:t>
      </w:r>
      <w:r>
        <w:t xml:space="preserve">(Muñoz-Sabater et al., 2021)</w:t>
      </w:r>
      <w:r>
        <w:t xml:space="preserve">: 2-m temperature, 2-m dew point, and the 10-m wind components</w:t>
      </w:r>
      <w:r>
        <w:t xml:space="preserve"> </w:t>
      </w:r>
      <m:oMath>
        <m:sSub>
          <m:e>
            <m:r>
              <m:t>u</m:t>
            </m:r>
          </m:e>
          <m:sub>
            <m:r>
              <m:t>10</m:t>
            </m:r>
          </m:sub>
        </m:sSub>
      </m:oMath>
      <w:r>
        <w:t xml:space="preserve"> </w:t>
      </w:r>
      <w:r>
        <w:t xml:space="preserve">and</w:t>
      </w:r>
      <w:r>
        <w:t xml:space="preserve"> </w:t>
      </w:r>
      <m:oMath>
        <m:sSub>
          <m:e>
            <m:r>
              <m:t>v</m:t>
            </m:r>
          </m:e>
          <m:sub>
            <m:r>
              <m:t>10</m:t>
            </m:r>
          </m:sub>
        </m:sSub>
      </m:oMath>
      <w:r>
        <w:t xml:space="preserve">. Relative humidity is derived from temperature and dew point with the Tetens saturation vapour pressure</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and</w:t>
      </w:r>
      <w:r>
        <w:t xml:space="preserve"> </w:t>
      </w:r>
      <m:oMath>
        <m:r>
          <m:t>H</m:t>
        </m:r>
        <m:r>
          <m:rPr>
            <m:sty m:val="p"/>
          </m:rPr>
          <m:t>=</m:t>
        </m:r>
        <m:r>
          <m:t>100</m:t>
        </m:r>
        <m:sSub>
          <m:e>
            <m:r>
              <m:t>e</m:t>
            </m:r>
          </m:e>
          <m:sub>
            <m:r>
              <m:t>a</m:t>
            </m:r>
          </m:sub>
        </m:sSub>
        <m:r>
          <m:rPr>
            <m:sty m:val="p"/>
          </m:rPr>
          <m:t>/</m:t>
        </m:r>
        <m:sSub>
          <m:e>
            <m:r>
              <m:t>e</m:t>
            </m:r>
          </m:e>
          <m:sub>
            <m:r>
              <m:t>s</m:t>
            </m:r>
          </m:sub>
        </m:sSub>
      </m:oMath>
      <w:r>
        <w:t xml:space="preserve">, clipped to 1–100 %. Wind speed is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w:t>
      </w:r>
      <m:oMath>
        <m:sSup>
          <m:e>
            <m:r>
              <m:t>​</m:t>
            </m:r>
          </m:e>
          <m:sup>
            <m:r>
              <m:rPr>
                <m:sty m:val="p"/>
              </m:rPr>
              <m:t>−</m:t>
            </m:r>
            <m:r>
              <m:t>1</m:t>
            </m:r>
          </m:sup>
        </m:sSup>
      </m:oMath>
      <w:r>
        <w:t xml:space="preserve">. Rainfall is the 00–24 h total from the daily climate table.</w:t>
      </w:r>
    </w:p>
    <w:p>
      <w:pPr>
        <w:pStyle w:val="BodyText"/>
      </w:pPr>
      <w:r>
        <w:t xml:space="preserve">The FWI uses</w:t>
      </w:r>
      <w:r>
        <w:t xml:space="preserve"> </w:t>
      </w:r>
      <w:r>
        <w:rPr>
          <w:b/>
          <w:bCs/>
        </w:rPr>
        <w:t xml:space="preserve">same-day</w:t>
      </w:r>
      <w:r>
        <w:t xml:space="preserve"> </w:t>
      </w:r>
      <w:r>
        <w:t xml:space="preserve">meteorology, not</w:t>
      </w:r>
      <w:r>
        <w:t xml:space="preserve"> </w:t>
      </w:r>
      <m:oMath>
        <m:r>
          <m:t>t</m:t>
        </m:r>
        <m:r>
          <m:rPr>
            <m:sty m:val="p"/>
          </m:rPr>
          <m:t>−</m:t>
        </m:r>
        <m:r>
          <m:t>1</m:t>
        </m:r>
      </m:oMath>
      <w:r>
        <w:t xml:space="preserve">: the codes for day</w:t>
      </w:r>
      <w:r>
        <w:t xml:space="preserve"> </w:t>
      </w:r>
      <m:oMath>
        <m:r>
          <m:t>t</m:t>
        </m:r>
      </m:oMath>
      <w:r>
        <w:t xml:space="preserve"> </w:t>
      </w:r>
      <w:r>
        <w:t xml:space="preserve">are driven by the 15:00 UTC fields and the rainfall of day</w:t>
      </w:r>
      <w:r>
        <w:t xml:space="preserve"> </w:t>
      </w:r>
      <m:oMath>
        <m:r>
          <m:t>t</m:t>
        </m:r>
      </m:oMath>
      <w:r>
        <w:t xml:space="preserve">. This is a nowcast configuration. The lagged</w:t>
      </w:r>
      <w:r>
        <w:t xml:space="preserve"> </w:t>
      </w:r>
      <m:oMath>
        <m:r>
          <m:t>t</m:t>
        </m:r>
        <m:r>
          <m:rPr>
            <m:sty m:val="p"/>
          </m:rPr>
          <m:t>−</m:t>
        </m:r>
        <m:r>
          <m:t>1</m:t>
        </m:r>
      </m:oMath>
      <w:r>
        <w:t xml:space="preserve"> </w:t>
      </w:r>
      <w:r>
        <w:t xml:space="preserve">experiment used to quantify the lead-time gap is a separate analysis (Note S3) and does not enter the benchmark.</w:t>
      </w:r>
    </w:p>
    <w:p>
      <w:pPr>
        <w:pStyle w:val="BodyText"/>
      </w:pPr>
      <w:r>
        <w:t xml:space="preserve">The climate analysis uses a 0.25° node grid (640 nodes). Each node is matched to the nearest ERA5-Land pixel, and each 1-km² cell inherits one node through</w:t>
      </w:r>
      <w:r>
        <w:t xml:space="preserve"> </w:t>
      </w:r>
      <w:r>
        <w:rPr>
          <w:rStyle w:val="VerbatimChar"/>
        </w:rPr>
        <w:t xml:space="preserve">nodo_clima_id</w:t>
      </w:r>
      <w:r>
        <w:t xml:space="preserve">; the mapping is precomputed with a cKDTree. The full FWI series is stored in</w:t>
      </w:r>
      <w:r>
        <w:t xml:space="preserve"> </w:t>
      </w:r>
      <w:r>
        <w:rPr>
          <w:rStyle w:val="VerbatimChar"/>
        </w:rPr>
        <w:t xml:space="preserve">fwi_completo_diario.parquet</w:t>
      </w:r>
      <w:r>
        <w:t xml:space="preserve">. The</w:t>
      </w:r>
      <w:r>
        <w:t xml:space="preserve"> </w:t>
      </w:r>
      <w:r>
        <w:rPr>
          <w:rStyle w:val="VerbatimChar"/>
        </w:rPr>
        <w:t xml:space="preserve">ffmc</w:t>
      </w:r>
      <w:r>
        <w:t xml:space="preserve"> </w:t>
      </w:r>
      <w:r>
        <w:t xml:space="preserve">and</w:t>
      </w:r>
      <w:r>
        <w:t xml:space="preserve"> </w:t>
      </w:r>
      <w:r>
        <w:rPr>
          <w:rStyle w:val="VerbatimChar"/>
        </w:rPr>
        <w:t xml:space="preserve">isi</w:t>
      </w:r>
      <w:r>
        <w:t xml:space="preserve"> </w:t>
      </w:r>
      <w:r>
        <w:t xml:space="preserve">columns used as features by M1/M2/M3 are a separate daily approximation computed by</w:t>
      </w:r>
      <w:r>
        <w:t xml:space="preserve"> </w:t>
      </w:r>
      <w:r>
        <w:rPr>
          <w:rStyle w:val="VerbatimChar"/>
        </w:rPr>
        <w:t xml:space="preserve">src/clima.py</w:t>
      </w:r>
      <w:r>
        <w:t xml:space="preserve"> </w:t>
      </w:r>
      <w:r>
        <w:t xml:space="preserve">from daily maximum temperature, VPD-derived relative humidity, daily maximum wind and daily rainfall; they are not the same series as the benchmark FWI.</w:t>
      </w:r>
    </w:p>
    <w:bookmarkEnd w:id="18"/>
    <w:bookmarkStart w:id="19" w:name="initialization-and-warm-up"/>
    <w:p>
      <w:pPr>
        <w:pStyle w:val="Heading3"/>
      </w:pPr>
      <w:r>
        <w:t xml:space="preserve">Initialization and warm-up</w:t>
      </w:r>
    </w:p>
    <w:p>
      <w:pPr>
        <w:pStyle w:val="FirstParagraph"/>
      </w:pPr>
      <w:r>
        <w:t xml:space="preserve">At the first day of each node series (1 January 2018) the codes are initialized as</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and</w:t>
      </w:r>
      <w:r>
        <w:t xml:space="preserve"> </w:t>
      </w:r>
      <m:oMath>
        <m:r>
          <m:t>Q</m:t>
        </m:r>
        <m:r>
          <m:rPr>
            <m:sty m:val="p"/>
          </m:rPr>
          <m:t>=</m:t>
        </m:r>
        <m:r>
          <m:t>15</m:t>
        </m:r>
      </m:oMath>
      <w:r>
        <w:t xml:space="preserve">. The recursion is then run continuously through 2025. No pre-2018 spin-up is available and no separate warm-up window is discarded: the 2018 calendar year is used only in the training split, so any initialization transient is confined to training. By the 2023 validation and the 2024–2025 test the codes have been iterated for at least five years, and the memory of the initial values is negligible.</w:t>
      </w:r>
    </w:p>
    <w:bookmarkEnd w:id="19"/>
    <w:bookmarkEnd w:id="20"/>
    <w:bookmarkStart w:id="24" w:name="s4.2-inpe-risco-de-fogo-2019"/>
    <w:p>
      <w:pPr>
        <w:pStyle w:val="Heading2"/>
      </w:pPr>
      <w:r>
        <w:t xml:space="preserve">S4.2 INPE Risco de Fogo (2019)</w:t>
      </w:r>
    </w:p>
    <w:p>
      <w:pPr>
        <w:pStyle w:val="FirstParagraph"/>
      </w:pPr>
      <w:r>
        <w:t xml:space="preserve">The implementation follows the INPE 2019 version 11 formulation</w:t>
      </w:r>
      <w:r>
        <w:t xml:space="preserve"> </w:t>
      </w:r>
      <w:r>
        <w:t xml:space="preserve">(Setzer et al., 2019)</w:t>
      </w:r>
      <w:r>
        <w:t xml:space="preserve">. The public product applies a correction for hotspots in the previous three days; that correction is deliberately omitted here because it would leak the ignition label. The benchmark therefore uses the weather-only formulation.</w:t>
      </w:r>
    </w:p>
    <w:bookmarkStart w:id="21" w:name="dryness-index-pse"/>
    <w:p>
      <w:pPr>
        <w:pStyle w:val="Heading3"/>
      </w:pPr>
      <w:r>
        <w:t xml:space="preserve">Dryness index (PSE)</w:t>
      </w:r>
    </w:p>
    <w:p>
      <w:pPr>
        <w:pStyle w:val="FirstParagraph"/>
      </w:pPr>
      <w:r>
        <w:t xml:space="preserve">Let</w:t>
      </w:r>
      <w:r>
        <w:t xml:space="preserve"> </w:t>
      </w:r>
      <m:oMath>
        <m:sSub>
          <m:e>
            <m:r>
              <m:t>r</m:t>
            </m:r>
          </m:e>
          <m:sub>
            <m:r>
              <m:t>j</m:t>
            </m:r>
          </m:sub>
        </m:sSub>
      </m:oMath>
      <w:r>
        <w:t xml:space="preserve"> </w:t>
      </w:r>
      <w:r>
        <w:t xml:space="preserve">be daily rainfall and let</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be the rainfall accumulated over the</w:t>
      </w:r>
      <w:r>
        <w:t xml:space="preserve"> </w:t>
      </w:r>
      <m:oMath>
        <m:r>
          <m:t>k</m:t>
        </m:r>
      </m:oMath>
      <w:r>
        <w:t xml:space="preserve"> </w:t>
      </w:r>
      <w:r>
        <w:t xml:space="preserve">days ending on day</w:t>
      </w:r>
      <w:r>
        <w:t xml:space="preserve"> </w:t>
      </w:r>
      <m:oMath>
        <m:r>
          <m:t>t</m:t>
        </m:r>
      </m:oMath>
      <w:r>
        <w:t xml:space="preserve">, with days before 1 January 2018 treated as zero. The PSE (período de secura; 0–105) is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with</w:t>
      </w:r>
      <w:r>
        <w:t xml:space="preserve"> </w:t>
      </w:r>
      <m:oMath>
        <m:sSub>
          <m:e>
            <m:r>
              <m:t>R</m:t>
            </m:r>
          </m:e>
          <m:sub>
            <m:r>
              <m:t>0</m:t>
            </m:r>
          </m:sub>
        </m:sSub>
        <m:r>
          <m:rPr>
            <m:sty m:val="p"/>
          </m:rPr>
          <m:t>=</m:t>
        </m:r>
        <m:r>
          <m:t>0</m:t>
        </m:r>
      </m:oMath>
      <w:r>
        <w:t xml:space="preserve">, windows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and coefficients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The 120-day window is left-truncated at the start of the 2018 series and is complete after 120 days. PSE is driven by same-day rainfall, not</w:t>
      </w:r>
      <w:r>
        <w:t xml:space="preserve"> </w:t>
      </w:r>
      <m:oMath>
        <m:r>
          <m:t>t</m:t>
        </m:r>
        <m:r>
          <m:rPr>
            <m:sty m:val="p"/>
          </m:rPr>
          <m:t>−</m:t>
        </m:r>
        <m:r>
          <m:t>1</m:t>
        </m:r>
      </m:oMath>
      <w:r>
        <w:t xml:space="preserve">.</w:t>
      </w:r>
    </w:p>
    <w:bookmarkEnd w:id="21"/>
    <w:bookmarkStart w:id="22" w:name="flammability-constant-and-basic-risk"/>
    <w:p>
      <w:pPr>
        <w:pStyle w:val="Heading3"/>
      </w:pPr>
      <w:r>
        <w:t xml:space="preserve">Flammability constant and basic risk</w:t>
      </w:r>
    </w:p>
    <w:p>
      <w:pPr>
        <w:pStyle w:val="FirstParagraph"/>
      </w:pPr>
      <w:r>
        <w:t xml:space="preserve">The primary specification uses a local, land-cover-weighted constant</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where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and</w:t>
      </w:r>
      <w:r>
        <w:t xml:space="preserve"> </w:t>
      </w:r>
      <m:oMath>
        <m:sSub>
          <m:e>
            <m:r>
              <m:t>f</m:t>
            </m:r>
          </m:e>
          <m:sub>
            <m:r>
              <m:t>p</m:t>
            </m:r>
            <m:r>
              <m:t>a</m:t>
            </m:r>
          </m:sub>
        </m:sSub>
      </m:oMath>
      <w:r>
        <w:t xml:space="preserve"> </w:t>
      </w:r>
      <w:r>
        <w:t xml:space="preserve">are the MapBiomas percentages of pasture, savanna, dry forest, humid forest and palm</w:t>
      </w:r>
      <w:r>
        <w:t xml:space="preserve"> </w:t>
      </w:r>
      <w:r>
        <w:t xml:space="preserve">(MapBiomas Chaco, 2023)</w:t>
      </w:r>
      <w:r>
        <w:t xml:space="preserve">. If the denominator is zero,</w:t>
      </w:r>
      <w:r>
        <w:t xml:space="preserve"> </w:t>
      </w:r>
      <m:oMath>
        <m:r>
          <m:t>A</m:t>
        </m:r>
        <m:r>
          <m:rPr>
            <m:sty m:val="p"/>
          </m:rPr>
          <m:t>=</m:t>
        </m:r>
        <m:r>
          <m:t>0</m:t>
        </m:r>
      </m:oMath>
      <w:r>
        <w:t xml:space="preserve">. The basic risk is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f>
                    <m:fPr>
                      <m:type m:val="bar"/>
                    </m:fPr>
                    <m:num>
                      <m:r>
                        <m:t>A</m:t>
                      </m:r>
                      <m:r>
                        <m:t> </m:t>
                      </m:r>
                      <m:r>
                        <m:t>P</m:t>
                      </m:r>
                      <m:r>
                        <m:t>S</m:t>
                      </m:r>
                      <m:sSub>
                        <m:e>
                          <m:r>
                            <m:t>E</m:t>
                          </m:r>
                        </m:e>
                        <m:sub>
                          <m:r>
                            <m:t>t</m:t>
                          </m:r>
                        </m:sub>
                      </m:sSub>
                    </m:num>
                    <m:den>
                      <m:r>
                        <m:t>120</m:t>
                      </m:r>
                    </m:den>
                  </m:f>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The local</w:t>
      </w:r>
      <w:r>
        <w:t xml:space="preserve"> </w:t>
      </w:r>
      <m:oMath>
        <m:r>
          <m:t>A</m:t>
        </m:r>
      </m:oMath>
      <w:r>
        <w:t xml:space="preserve"> </w:t>
      </w:r>
      <w:r>
        <w:t xml:space="preserve">is the primary version; a fixed</w:t>
      </w:r>
      <w:r>
        <w:t xml:space="preserve"> </w:t>
      </w:r>
      <m:oMath>
        <m:r>
          <m:t>A</m:t>
        </m:r>
        <m:r>
          <m:rPr>
            <m:sty m:val="p"/>
          </m:rPr>
          <m:t>=</m:t>
        </m:r>
        <m:r>
          <m:t>3.0</m:t>
        </m:r>
      </m:oMath>
      <w:r>
        <w:t xml:space="preserve"> </w:t>
      </w:r>
      <w:r>
        <w:t xml:space="preserve">(the INPE open-savanna coefficient) is reported as a sensitivity in Table S22.</w:t>
      </w:r>
    </w:p>
    <w:bookmarkEnd w:id="22"/>
    <w:bookmarkStart w:id="23" w:name="observed-risk-and-timing"/>
    <w:p>
      <w:pPr>
        <w:pStyle w:val="Heading3"/>
      </w:pPr>
      <w:r>
        <w:t xml:space="preserve">Observed risk and timing</w:t>
      </w:r>
    </w:p>
    <w:p>
      <w:pPr>
        <w:pStyle w:val="FirstParagraph"/>
      </w:pPr>
      <w:r>
        <w:t xml:space="preserve">The observed risk is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with</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where</w:t>
      </w:r>
      <w:r>
        <w:t xml:space="preserve"> </w:t>
      </w:r>
      <m:oMath>
        <m:sSub>
          <m:e>
            <m:r>
              <m:t>H</m:t>
            </m:r>
          </m:e>
          <m:sub>
            <m:r>
              <m:t>m</m:t>
            </m:r>
            <m:r>
              <m:t>i</m:t>
            </m:r>
            <m:r>
              <m:t>n</m:t>
            </m:r>
          </m:sub>
        </m:sSub>
      </m:oMath>
      <w:r>
        <w:t xml:space="preserve"> </w:t>
      </w:r>
      <w:r>
        <w:t xml:space="preserve">and</w:t>
      </w:r>
      <w:r>
        <w:t xml:space="preserve"> </w:t>
      </w:r>
      <m:oMath>
        <m:sSub>
          <m:e>
            <m:r>
              <m:t>T</m:t>
            </m:r>
          </m:e>
          <m:sub>
            <m:r>
              <m:t>m</m:t>
            </m:r>
            <m:r>
              <m:t>a</m:t>
            </m:r>
            <m:r>
              <m:t>x</m:t>
            </m:r>
          </m:sub>
        </m:sSub>
      </m:oMath>
      <w:r>
        <w:t xml:space="preserve"> </w:t>
      </w:r>
      <w:r>
        <w:t xml:space="preserve">are the same-day daily minimum relative humidity and maximum temperature,</w:t>
      </w:r>
      <w:r>
        <w:t xml:space="preserve"> </w:t>
      </w:r>
      <m:oMath>
        <m:r>
          <m:t>ϕ</m:t>
        </m:r>
      </m:oMath>
      <w:r>
        <w:t xml:space="preserve"> </w:t>
      </w:r>
      <w:r>
        <w:t xml:space="preserve">is latitude and</w:t>
      </w:r>
      <w:r>
        <w:t xml:space="preserve"> </w:t>
      </w:r>
      <m:oMath>
        <m:r>
          <m:t>z</m:t>
        </m:r>
      </m:oMath>
      <w:r>
        <w:t xml:space="preserve"> </w:t>
      </w:r>
      <w:r>
        <w:t xml:space="preserve">is elevation (m). The 1-km grid table does not carry elevation, so</w:t>
      </w:r>
      <w:r>
        <w:t xml:space="preserve"> </w:t>
      </w:r>
      <m:oMath>
        <m:sSub>
          <m:e>
            <m:r>
              <m:t>F</m:t>
            </m:r>
          </m:e>
          <m:sub>
            <m:r>
              <m:t>a</m:t>
            </m:r>
            <m:r>
              <m:t>l</m:t>
            </m:r>
            <m:r>
              <m:t>t</m:t>
            </m:r>
          </m:sub>
        </m:sSub>
        <m:r>
          <m:rPr>
            <m:sty m:val="p"/>
          </m:rPr>
          <m:t>=</m:t>
        </m:r>
        <m:r>
          <m:t>1</m:t>
        </m:r>
      </m:oMath>
      <w:r>
        <w:t xml:space="preserve"> </w:t>
      </w:r>
      <w:r>
        <w:t xml:space="preserve">in the benchmark. The INPE series is stored in</w:t>
      </w:r>
      <w:r>
        <w:t xml:space="preserve"> </w:t>
      </w:r>
      <w:r>
        <w:rPr>
          <w:rStyle w:val="VerbatimChar"/>
        </w:rPr>
        <w:t xml:space="preserve">inpe_diario.parquet</w:t>
      </w:r>
      <w:r>
        <w:t xml:space="preserve">; it uses the same-day daily fields and the same 0.25° node-to-cell mapping as the FWI. No</w:t>
      </w:r>
      <w:r>
        <w:t xml:space="preserve"> </w:t>
      </w:r>
      <m:oMath>
        <m:r>
          <m:t>t</m:t>
        </m:r>
        <m:r>
          <m:rPr>
            <m:sty m:val="p"/>
          </m:rPr>
          <m:t>−</m:t>
        </m:r>
        <m:r>
          <m:t>1</m:t>
        </m:r>
      </m:oMath>
      <w:r>
        <w:t xml:space="preserve"> </w:t>
      </w:r>
      <w:r>
        <w:t xml:space="preserve">lag is applied.</w:t>
      </w:r>
    </w:p>
    <w:bookmarkEnd w:id="23"/>
    <w:bookmarkEnd w:id="24"/>
    <w:bookmarkStart w:id="25" w:name="s4.3-calibration-and-operating-points"/>
    <w:p>
      <w:pPr>
        <w:pStyle w:val="Heading2"/>
      </w:pPr>
      <w:r>
        <w:t xml:space="preserve">S4.3 Calibration and operating points</w:t>
      </w:r>
    </w:p>
    <w:p>
      <w:pPr>
        <w:pStyle w:val="FirstParagraph"/>
      </w:pPr>
      <w:r>
        <w:rPr>
          <w:b/>
          <w:bCs/>
        </w:rPr>
        <w:t xml:space="preserve">No local calibration was applied to either index.</w:t>
      </w:r>
      <w:r>
        <w:t xml:space="preserve"> </w:t>
      </w:r>
      <w:r>
        <w:t xml:space="preserve">The FWI remains on the Canadian index scale and INPE on a 0–1 risk scale; neither is a calibrated probability. For ignition in each region, the operating cutoff was selected on 2023 validation by maximizing F0.5 and then frozen for 2024–2025 (Tables S11 and S22). The local</w:t>
      </w:r>
      <w:r>
        <w:t xml:space="preserve"> </w:t>
      </w:r>
      <m:oMath>
        <m:r>
          <m:t>A</m:t>
        </m:r>
      </m:oMath>
      <w:r>
        <w:t xml:space="preserve"> </w:t>
      </w:r>
      <w:r>
        <w:t xml:space="preserve">weighting is a land-cover parameterization, not a calibration to fire observations.</w:t>
      </w:r>
    </w:p>
    <w:bookmarkEnd w:id="25"/>
    <w:bookmarkEnd w:id="26"/>
    <w:bookmarkStart w:id="69" w:name="Xd5be12ae90f8c8b946f48b0695359b7fad4e351"/>
    <w:p>
      <w:pPr>
        <w:pStyle w:val="Heading1"/>
      </w:pPr>
      <w:r>
        <w:t xml:space="preserve">Supplementary Note S5. Robustness analyses</w:t>
      </w:r>
    </w:p>
    <w:p>
      <w:pPr>
        <w:pStyle w:val="FirstParagraph"/>
      </w:pPr>
      <w:r>
        <w:t xml:space="preserve">This note documents the protocols behind Tables S25–S32 and Figures S5–S7. All analyses use the frozen 2018–2025 data and the same feature definitions as the main models unless stated otherwise.</w:t>
      </w:r>
    </w:p>
    <w:bookmarkStart w:id="27" w:name="s5.1-rolling-origin-backtest"/>
    <w:p>
      <w:pPr>
        <w:pStyle w:val="Heading2"/>
      </w:pPr>
      <w:r>
        <w:t xml:space="preserve">S5.1 Rolling-origin backtest</w:t>
      </w:r>
    </w:p>
    <w:p>
      <w:pPr>
        <w:pStyle w:val="FirstParagraph"/>
      </w:pPr>
      <w:r>
        <w:t xml:space="preserve">Four folds were evaluated for test years</w:t>
      </w:r>
      <w:r>
        <w:t xml:space="preserve"> </w:t>
      </w:r>
      <m:oMath>
        <m:r>
          <m:t>Y</m:t>
        </m:r>
        <m:r>
          <m:rPr>
            <m:sty m:val="p"/>
          </m:rPr>
          <m:t>=</m:t>
        </m:r>
        <m:r>
          <m:t>2022</m:t>
        </m:r>
        <m:r>
          <m:rPr>
            <m:sty m:val="p"/>
          </m:rPr>
          <m:t>,</m:t>
        </m:r>
        <m:r>
          <m:rPr>
            <m:sty m:val="p"/>
          </m:rPr>
          <m:t>…</m:t>
        </m:r>
        <m:r>
          <m:rPr>
            <m:sty m:val="p"/>
          </m:rPr>
          <m:t>,</m:t>
        </m:r>
        <m:r>
          <m:t>2025</m:t>
        </m:r>
      </m:oMath>
      <w:r>
        <w:t xml:space="preserve">. In each fold, models were trained through</w:t>
      </w:r>
      <w:r>
        <w:t xml:space="preserve"> </w:t>
      </w:r>
      <m:oMath>
        <m:r>
          <m:t>Y</m:t>
        </m:r>
        <m:r>
          <m:rPr>
            <m:sty m:val="p"/>
          </m:rPr>
          <m:t>−</m:t>
        </m:r>
        <m:r>
          <m:t>2</m:t>
        </m:r>
      </m:oMath>
      <w:r>
        <w:t xml:space="preserve">, calibrated and thresholded on</w:t>
      </w:r>
      <w:r>
        <w:t xml:space="preserve"> </w:t>
      </w:r>
      <m:oMath>
        <m:r>
          <m:t>Y</m:t>
        </m:r>
        <m:r>
          <m:rPr>
            <m:sty m:val="p"/>
          </m:rPr>
          <m:t>−</m:t>
        </m:r>
        <m:r>
          <m:t>1</m:t>
        </m:r>
      </m:oMath>
      <w:r>
        <w:t xml:space="preserve">, and evaluated on</w:t>
      </w:r>
      <w:r>
        <w:t xml:space="preserve"> </w:t>
      </w:r>
      <m:oMath>
        <m:r>
          <m:t>Y</m:t>
        </m:r>
      </m:oMath>
      <w:r>
        <w:t xml:space="preserve">. M1, M2 and M3 were retrained with the operational capacity of Table S2; the F0.5 cutoff was selected on</w:t>
      </w:r>
      <w:r>
        <w:t xml:space="preserve"> </w:t>
      </w:r>
      <m:oMath>
        <m:r>
          <m:t>Y</m:t>
        </m:r>
        <m:r>
          <m:rPr>
            <m:sty m:val="p"/>
          </m:rPr>
          <m:t>−</m:t>
        </m:r>
        <m:r>
          <m:t>1</m:t>
        </m:r>
      </m:oMath>
      <w:r>
        <w:t xml:space="preserve"> </w:t>
      </w:r>
      <w:r>
        <w:t xml:space="preserve">and frozen for</w:t>
      </w:r>
      <w:r>
        <w:t xml:space="preserve"> </w:t>
      </w:r>
      <m:oMath>
        <m:r>
          <m:t>Y</m:t>
        </m:r>
      </m:oMath>
      <w:r>
        <w:t xml:space="preserve">. ROC-AUC and PR-AUC were computed on the case-control test rows. The M3−M2 ROC-AUC difference uses a paired bootstrap grouped by date (</w:t>
      </w:r>
      <m:oMath>
        <m:r>
          <m:t>B</m:t>
        </m:r>
        <m:r>
          <m:rPr>
            <m:sty m:val="p"/>
          </m:rPr>
          <m:t>=</m:t>
        </m:r>
        <m:r>
          <m:t>1</m:t>
        </m:r>
        <m:r>
          <m:t> </m:t>
        </m:r>
        <m:r>
          <m:t>000</m:t>
        </m:r>
      </m:oMath>
      <w:r>
        <w:t xml:space="preserve">). The fold construction is strictly nested, so no test year contributes to training or threshold selection (Table S26; Figure S5).</w:t>
      </w:r>
    </w:p>
    <w:bookmarkEnd w:id="27"/>
    <w:bookmarkStart w:id="28" w:name="s5.2-seed-and-capacity-stability"/>
    <w:p>
      <w:pPr>
        <w:pStyle w:val="Heading2"/>
      </w:pPr>
      <w:r>
        <w:t xml:space="preserve">S5.2 Seed and capacity stability</w:t>
      </w:r>
    </w:p>
    <w:p>
      <w:pPr>
        <w:pStyle w:val="FirstParagraph"/>
      </w:pPr>
      <w:r>
        <w:t xml:space="preserve">M2 and M3 were trained with seeds 42, 7, 13, 21 and 33 and two capacities: the operational configuration and a +20 % variant in</w:t>
      </w:r>
      <w:r>
        <w:t xml:space="preserve"> </w:t>
      </w:r>
      <w:r>
        <w:rPr>
          <w:rStyle w:val="VerbatimChar"/>
        </w:rPr>
        <w:t xml:space="preserve">num_leaves</w:t>
      </w:r>
      <w:r>
        <w:t xml:space="preserve"> </w:t>
      </w:r>
      <w:r>
        <w:t xml:space="preserve">and</w:t>
      </w:r>
      <w:r>
        <w:t xml:space="preserve"> </w:t>
      </w:r>
      <w:r>
        <w:rPr>
          <w:rStyle w:val="VerbatimChar"/>
        </w:rPr>
        <w:t xml:space="preserve">num_boost_round</w:t>
      </w:r>
      <w:r>
        <w:t xml:space="preserve"> </w:t>
      </w:r>
      <w:r>
        <w:t xml:space="preserve">(Chaco 28/54; Oriental 37/72). All other hyperparameters were fixed. ROC-AUC and PR-AUC were evaluated on the frozen test. ΔROC is M3−M2 within the same seed and capacity; the table reports the mean, standard deviation, range, a t interval for the mean and the fraction of positive runs (Table S25).</w:t>
      </w:r>
    </w:p>
    <w:bookmarkEnd w:id="28"/>
    <w:bookmarkStart w:id="29" w:name="s5.3-threshold-and-metric-sensitivity"/>
    <w:p>
      <w:pPr>
        <w:pStyle w:val="Heading2"/>
      </w:pPr>
      <w:r>
        <w:t xml:space="preserve">S5.3 Threshold and metric sensitivity</w:t>
      </w:r>
    </w:p>
    <w:p>
      <w:pPr>
        <w:pStyle w:val="FirstParagraph"/>
      </w:pPr>
      <w:r>
        <w:t xml:space="preserve">For M3 ignition and the propagation model, cutoffs were selected on 2023 validation by maximizing F0.5, F1, F2 and Youden’s J. Precision, recall, F0.5, F1 and F2 were then evaluated on the 2024–2025 test. Figure S6 shows the validation curves; Table S14 (continued) reports the test metrics. The operational F0.5 cutoff is retained for the main tables; this analysis tests whether the ranking depends on that choice.</w:t>
      </w:r>
    </w:p>
    <w:bookmarkEnd w:id="29"/>
    <w:bookmarkStart w:id="30" w:name="s5.4-adversarial-validation"/>
    <w:p>
      <w:pPr>
        <w:pStyle w:val="Heading2"/>
      </w:pPr>
      <w:r>
        <w:t xml:space="preserve">S5.4 Adversarial validation</w:t>
      </w:r>
    </w:p>
    <w:p>
      <w:pPr>
        <w:pStyle w:val="FirstParagraph"/>
      </w:pPr>
      <w:r>
        <w:t xml:space="preserve">A LightGBM classifier was trained to separate training rows (2018–2022) from test rows (2024–2025) using the M3 feature set. Five stratified folds were used, with 100 boosting rounds, 31 leaves, learning rate 0.05 and gain importance. The reported AUC is the mean across folds; the top features are ranked by mean gain. Adversarial AUC measures distribution shift and is not a performance metric for the fire model (Table S29).</w:t>
      </w:r>
    </w:p>
    <w:bookmarkEnd w:id="30"/>
    <w:bookmarkStart w:id="31" w:name="X6516595ba754ecf961488db2312281caeb8572f"/>
    <w:p>
      <w:pPr>
        <w:pStyle w:val="Heading2"/>
      </w:pPr>
      <w:r>
        <w:t xml:space="preserve">S5.5 Negative control and permutation importance</w:t>
      </w:r>
    </w:p>
    <w:p>
      <w:pPr>
        <w:pStyle w:val="FirstParagraph"/>
      </w:pPr>
      <w:r>
        <w:t xml:space="preserve">The negative control retrains M3 after randomly permuting the training labels while keeping the features and validation labels unchanged. A correctly specified, leakage-free pipeline should yield an AUC near 0.5. The control was repeated with and without the historical features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Permutation importance shuffles each feature, or each feature family, on the test rows and records the mean drop in ROC-AUC over three repeats. Families are weather, fuel, anthropogenic, historical and calendar. The control and permutation results are in Table S32 and Figure S7. An AUC above 0.5 in the control indicates residual cell-level or feature information; it is a diagnostic of what the score can and cannot support, not a substitute for the main ranking.</w:t>
      </w:r>
    </w:p>
    <w:bookmarkEnd w:id="31"/>
    <w:bookmarkStart w:id="32" w:name="Xb4ea8ededb535041904ac5dc107907881c27a93"/>
    <w:p>
      <w:pPr>
        <w:pStyle w:val="Heading2"/>
      </w:pPr>
      <w:r>
        <w:t xml:space="preserve">S5.6 Gate thresholds and the no-gate sample</w:t>
      </w:r>
    </w:p>
    <w:p>
      <w:pPr>
        <w:pStyle w:val="FirstParagraph"/>
      </w:pPr>
      <w:r>
        <w:t xml:space="preserve">The baseline gate is fuel and VPD ≥ 0.8 kPa with 48-h rainfall &lt; 10 mm. Stricter variants use VPD ≥ 1.0/1.2 kPa and rainfall &lt; 5/2 mm. A no-gate ignition sample was generated from the full candidate archive with the same D2 operator, a 1:10 ratio and no biophysical filter (Table S31). Positives are all D2 ignitions in the sampled domain; negatives are all non-fire candidates. The no-gate sample is independent of the frozen gated sample; validation and test years are unchanged. FWI is evaluated on the same retained rows.</w:t>
      </w:r>
    </w:p>
    <w:bookmarkEnd w:id="32"/>
    <w:bookmarkStart w:id="33" w:name="s5.7-sampling-ratio-sensitivity"/>
    <w:p>
      <w:pPr>
        <w:pStyle w:val="Heading2"/>
      </w:pPr>
      <w:r>
        <w:t xml:space="preserve">S5.7 Sampling-ratio sensitivity</w:t>
      </w:r>
    </w:p>
    <w:p>
      <w:pPr>
        <w:pStyle w:val="FirstParagraph"/>
      </w:pPr>
      <w:r>
        <w:t xml:space="preserve">The 1:5 sample was obtained by downsampling training negatives from the frozen 1:10 sample. The 1:20 sample was generated independently from the full candidate archive with the baseline gate and 20 negatives per positive. Validation and test remain at 1:10 so ROC-AUC, PR-AUC and the prevalence-corrected population precision are comparable across training ratios (Table S28). The 1:5 and 1:20 analyses change the training class balance only.</w:t>
      </w:r>
    </w:p>
    <w:bookmarkEnd w:id="33"/>
    <w:bookmarkStart w:id="34" w:name="s5.8-viirs-label-quality-variants"/>
    <w:p>
      <w:pPr>
        <w:pStyle w:val="Heading2"/>
      </w:pPr>
      <w:r>
        <w:t xml:space="preserve">S5.8 VIIRS label-quality variants</w:t>
      </w:r>
    </w:p>
    <w:p>
      <w:pPr>
        <w:pStyle w:val="FirstParagraph"/>
      </w:pPr>
      <w:r>
        <w:t xml:space="preserve">The raw FIRMS archive (2018–2025) was filtered to vegetation fires with scan ≤ 1.5 km and non-low confidence. Two variants were built: high confidence (</w:t>
      </w:r>
      <w:r>
        <w:rPr>
          <w:rStyle w:val="VerbatimChar"/>
        </w:rPr>
        <w:t xml:space="preserve">h</w:t>
      </w:r>
      <w:r>
        <w:t xml:space="preserve">) and FRP ≥ 10 MW. The variants were applied to the positive rows of the frozen 1:10 sample; negatives were unchanged. This is a label sensitivity, not a full reconstruction of D2 under the variant fire masks: removing a low-confidence or low-FRP detection can also change the t−1 buffer and the recent-fire state. The cloud-cover &lt; 40 % variant is not reported because FIRMS lacks a cloud mask and the ERA5 total-cloud proxy did not complete in the CDS queue (Table S30).</w:t>
      </w:r>
    </w:p>
    <w:bookmarkEnd w:id="34"/>
    <w:bookmarkStart w:id="62" w:name="s5.9-clean-environment-verification"/>
    <w:p>
      <w:pPr>
        <w:pStyle w:val="Heading2"/>
      </w:pPr>
      <w:r>
        <w:t xml:space="preserve">S5.9 Clean-environment verification</w:t>
      </w:r>
    </w:p>
    <w:p>
      <w:pPr>
        <w:pStyle w:val="FirstParagraph"/>
      </w:pPr>
      <w:r>
        <w:t xml:space="preserve">A separate Python 3.12 environment was created from</w:t>
      </w:r>
      <w:r>
        <w:t xml:space="preserve"> </w:t>
      </w:r>
      <w:r>
        <w:rPr>
          <w:rStyle w:val="VerbatimChar"/>
        </w:rPr>
        <w:t xml:space="preserve">requirements-lock.txt</w:t>
      </w:r>
      <w:r>
        <w:t xml:space="preserve">. The 76-test suite passed, and</w:t>
      </w:r>
      <w:r>
        <w:t xml:space="preserve"> </w:t>
      </w:r>
      <w:r>
        <w:rPr>
          <w:rStyle w:val="VerbatimChar"/>
        </w:rPr>
        <w:t xml:space="preserve">shasum -a 256 -c auditoria/HASHES.sha256</w:t>
      </w:r>
      <w:r>
        <w:t xml:space="preserve"> </w:t>
      </w:r>
      <w:r>
        <w:t xml:space="preserve">returned OK. The run is recorded in</w:t>
      </w:r>
      <w:r>
        <w:t xml:space="preserve"> </w:t>
      </w:r>
      <w:r>
        <w:rPr>
          <w:rStyle w:val="VerbatimChar"/>
        </w:rPr>
        <w:t xml:space="preserve">auditoria/R12_VERIFICACION_ENTORNO_LIMPIO.md</w:t>
      </w:r>
      <w:r>
        <w:t xml:space="preserve">. The hashes cover the generated tables, figures, manuscript sources and analysis scripts.</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its continuation adds a GBT with the M3 features plus both indices.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The INPE constant A is land-cover-weighted (local A); Table S22 repeats the benchmark with a fixed A = 3.0 and shows that the ranking conclusion is unchanged. FWI is reported on the Canadian index scale (0.3029 in Chaco, 2.1509 in Oriental) and INPE on a 0–1 risk scale (0.8963 in Chaco, 0.0750 in Oriental).</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S11 (continued).</w:t>
      </w:r>
      <w:r>
        <w:t xml:space="preserve"> </w:t>
      </w:r>
      <w:r>
        <w:t xml:space="preserve">GBT with the M3 feature set plus full FWI and local INPE risk. ΔROC is this model minus M3, with a paired date-grouped bootstrap (B = 1 000). Positive values favour the augmented model.</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0.8013 [0.796 - 0.807]</w:t>
            </w:r>
          </w:p>
        </w:tc>
        <w:tc>
          <w:tcPr/>
          <w:p>
            <w:pPr>
              <w:pStyle w:val="Compact"/>
              <w:jc w:val="right"/>
            </w:pPr>
            <w:r>
              <w:t xml:space="preserve">0.2864</w:t>
            </w:r>
          </w:p>
        </w:tc>
        <w:tc>
          <w:tcPr/>
          <w:p>
            <w:pPr>
              <w:pStyle w:val="Compact"/>
              <w:jc w:val="right"/>
            </w:pPr>
            <w:r>
              <w:t xml:space="preserve">0.0732</w:t>
            </w:r>
          </w:p>
        </w:tc>
        <w:tc>
          <w:tcPr/>
          <w:p>
            <w:pPr>
              <w:pStyle w:val="Compact"/>
              <w:jc w:val="right"/>
            </w:pPr>
            <w:r>
              <w:t xml:space="preserve">0.1146</w:t>
            </w:r>
          </w:p>
        </w:tc>
        <w:tc>
          <w:tcPr/>
          <w:p>
            <w:pPr>
              <w:pStyle w:val="Compact"/>
              <w:jc w:val="right"/>
            </w:pPr>
            <w:r>
              <w:t xml:space="preserve">0.0065</w:t>
            </w:r>
          </w:p>
        </w:tc>
        <w:tc>
          <w:tcPr/>
          <w:p>
            <w:pPr>
              <w:pStyle w:val="Compact"/>
              <w:jc w:val="right"/>
            </w:pPr>
            <w:r>
              <w:t xml:space="preserve">0.2495</w:t>
            </w:r>
          </w:p>
        </w:tc>
        <w:tc>
          <w:tcPr/>
          <w:p>
            <w:pPr>
              <w:pStyle w:val="Compact"/>
              <w:jc w:val="right"/>
            </w:pPr>
            <w:r>
              <w:t xml:space="preserve">0.3466</w:t>
            </w:r>
          </w:p>
        </w:tc>
        <w:tc>
          <w:tcPr/>
          <w:p>
            <w:pPr>
              <w:pStyle w:val="Compact"/>
              <w:jc w:val="right"/>
            </w:pPr>
            <w:r>
              <w:t xml:space="preserve">0.2758</w:t>
            </w:r>
          </w:p>
        </w:tc>
        <w:tc>
          <w:tcPr/>
          <w:p>
            <w:pPr>
              <w:pStyle w:val="Compact"/>
              <w:jc w:val="right"/>
            </w:pPr>
            <w:r>
              <w:t xml:space="preserve">0.3297</w:t>
            </w:r>
          </w:p>
        </w:tc>
        <w:tc>
          <w:tcPr/>
          <w:p>
            <w:pPr>
              <w:pStyle w:val="Compact"/>
              <w:jc w:val="right"/>
            </w:pPr>
            <w:r>
              <w:t xml:space="preserve">8,347</w:t>
            </w:r>
          </w:p>
        </w:tc>
        <w:tc>
          <w:tcPr/>
          <w:p>
            <w:pPr>
              <w:pStyle w:val="Compact"/>
              <w:jc w:val="right"/>
            </w:pPr>
            <w:r>
              <w:t xml:space="preserve">-0.0009 (0.182)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0.7547 [0.749 - 0.760]</w:t>
            </w:r>
          </w:p>
        </w:tc>
        <w:tc>
          <w:tcPr/>
          <w:p>
            <w:pPr>
              <w:pStyle w:val="Compact"/>
              <w:jc w:val="right"/>
            </w:pPr>
            <w:r>
              <w:t xml:space="preserve">0.2359</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0.0077</w:t>
            </w:r>
          </w:p>
        </w:tc>
        <w:tc>
          <w:tcPr/>
          <w:p>
            <w:pPr>
              <w:pStyle w:val="Compact"/>
              <w:jc w:val="right"/>
            </w:pPr>
            <w:r>
              <w:t xml:space="preserve">0.2084</w:t>
            </w:r>
          </w:p>
        </w:tc>
        <w:tc>
          <w:tcPr/>
          <w:p>
            <w:pPr>
              <w:pStyle w:val="Compact"/>
              <w:jc w:val="right"/>
            </w:pPr>
            <w:r>
              <w:t xml:space="preserve">0.2901</w:t>
            </w:r>
          </w:p>
        </w:tc>
        <w:tc>
          <w:tcPr/>
          <w:p>
            <w:pPr>
              <w:pStyle w:val="Compact"/>
              <w:jc w:val="right"/>
            </w:pPr>
            <w:r>
              <w:t xml:space="preserve">0.2075</w:t>
            </w:r>
          </w:p>
        </w:tc>
        <w:tc>
          <w:tcPr/>
          <w:p>
            <w:pPr>
              <w:pStyle w:val="Compact"/>
              <w:jc w:val="right"/>
            </w:pPr>
            <w:r>
              <w:t xml:space="preserve">0.2687</w:t>
            </w:r>
          </w:p>
        </w:tc>
        <w:tc>
          <w:tcPr/>
          <w:p>
            <w:pPr>
              <w:pStyle w:val="Compact"/>
              <w:jc w:val="right"/>
            </w:pPr>
            <w:r>
              <w:t xml:space="preserve">9,228</w:t>
            </w:r>
          </w:p>
        </w:tc>
        <w:tc>
          <w:tcPr/>
          <w:p>
            <w:pPr>
              <w:pStyle w:val="Compact"/>
              <w:jc w:val="right"/>
            </w:pPr>
            <w:r>
              <w:t xml:space="preserve">+0.0013 (0.001)</w:t>
            </w:r>
          </w:p>
        </w:tc>
      </w:tr>
    </w:tbl>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8252460" cy="3610451"/>
            <wp:effectExtent b="0" l="0" r="0" t="0"/>
            <wp:docPr descr="Figure S1. TreeSHAP comparison for the hybrid ignition model. The two regions use separate models and feature sets." title="" id="36" name="Picture"/>
            <a:graphic>
              <a:graphicData uri="http://schemas.openxmlformats.org/drawingml/2006/picture">
                <pic:pic>
                  <pic:nvPicPr>
                    <pic:cNvPr descr="../../entregables/figuras/supp_fig01_shap.png" id="37" name="Picture"/>
                    <pic:cNvPicPr>
                      <a:picLocks noChangeArrowheads="1" noChangeAspect="1"/>
                    </pic:cNvPicPr>
                  </pic:nvPicPr>
                  <pic:blipFill>
                    <a:blip r:embed="rId35"/>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 with 95 % date-grouped bootstrap intervals (B = 1 000). FWI and INPE rows use their frozen F0.5 cutoffs (0.3029/2.1509 and 0.8963/0.0750, Chaco/Oriental); model rows use</w:t>
      </w:r>
      <w:r>
        <w:t xml:space="preserve"> </w:t>
      </w:r>
      <m:oMath>
        <m:r>
          <m:t>p</m:t>
        </m:r>
        <m:r>
          <m:rPr>
            <m:sty m:val="p"/>
          </m:rPr>
          <m:t>≥</m:t>
        </m:r>
        <m:r>
          <m:t>α</m:t>
        </m:r>
      </m:oMath>
      <w:r>
        <w:t xml:space="preserve">.</w:t>
      </w:r>
      <w:r>
        <w:t xml:space="preserve"> </w:t>
      </w:r>
      <m:oMath>
        <m:r>
          <m:t>V</m:t>
        </m:r>
      </m:oMath>
      <w:r>
        <w:t xml:space="preserve"> </w:t>
      </w:r>
      <w:r>
        <w:t xml:space="preserve">is clipped at −1; the frozen FWI/INPE rows reach this bound for</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0.068669</w:t>
            </w:r>
          </w:p>
        </w:tc>
        <w:tc>
          <w:tcPr/>
          <w:p>
            <w:pPr>
              <w:pStyle w:val="Compact"/>
              <w:jc w:val="right"/>
            </w:pPr>
            <w:r>
              <w:t xml:space="preserve">0.053930</w:t>
            </w:r>
          </w:p>
        </w:tc>
        <w:tc>
          <w:tcPr/>
          <w:p>
            <w:pPr>
              <w:pStyle w:val="Compact"/>
              <w:jc w:val="right"/>
            </w:pPr>
            <w:r>
              <w:t xml:space="preserve">0.082585</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-0.178710</w:t>
            </w:r>
          </w:p>
        </w:tc>
        <w:tc>
          <w:tcPr/>
          <w:p>
            <w:pPr>
              <w:pStyle w:val="Compact"/>
              <w:jc w:val="right"/>
            </w:pPr>
            <w:r>
              <w:t xml:space="preserve">-0.259917</w:t>
            </w:r>
          </w:p>
        </w:tc>
        <w:tc>
          <w:tcPr/>
          <w:p>
            <w:pPr>
              <w:pStyle w:val="Compact"/>
              <w:jc w:val="right"/>
            </w:pPr>
            <w:r>
              <w:t xml:space="preserve">-0.109427</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-0.413676</w:t>
            </w:r>
          </w:p>
        </w:tc>
        <w:tc>
          <w:tcPr/>
          <w:p>
            <w:pPr>
              <w:pStyle w:val="Compact"/>
              <w:jc w:val="right"/>
            </w:pPr>
            <w:r>
              <w:t xml:space="preserve">-0.509413</w:t>
            </w:r>
          </w:p>
        </w:tc>
        <w:tc>
          <w:tcPr/>
          <w:p>
            <w:pPr>
              <w:pStyle w:val="Compact"/>
              <w:jc w:val="right"/>
            </w:pPr>
            <w:r>
              <w:t xml:space="preserve">-0.318557</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0.025776</w:t>
            </w:r>
          </w:p>
        </w:tc>
        <w:tc>
          <w:tcPr/>
          <w:p>
            <w:pPr>
              <w:pStyle w:val="Compact"/>
              <w:jc w:val="right"/>
            </w:pPr>
            <w:r>
              <w:t xml:space="preserve">0.014429</w:t>
            </w:r>
          </w:p>
        </w:tc>
        <w:tc>
          <w:tcPr/>
          <w:p>
            <w:pPr>
              <w:pStyle w:val="Compact"/>
              <w:jc w:val="right"/>
            </w:pPr>
            <w:r>
              <w:t xml:space="preserve">0.036279</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-0.124257</w:t>
            </w:r>
          </w:p>
        </w:tc>
        <w:tc>
          <w:tcPr/>
          <w:p>
            <w:pPr>
              <w:pStyle w:val="Compact"/>
              <w:jc w:val="right"/>
            </w:pPr>
            <w:r>
              <w:t xml:space="preserve">-0.146519</w:t>
            </w:r>
          </w:p>
        </w:tc>
        <w:tc>
          <w:tcPr/>
          <w:p>
            <w:pPr>
              <w:pStyle w:val="Compact"/>
              <w:jc w:val="right"/>
            </w:pPr>
            <w:r>
              <w:t xml:space="preserve">-0.104933</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-0.374511</w:t>
            </w:r>
          </w:p>
        </w:tc>
        <w:tc>
          <w:tcPr/>
          <w:p>
            <w:pPr>
              <w:pStyle w:val="Compact"/>
              <w:jc w:val="right"/>
            </w:pPr>
            <w:r>
              <w:t xml:space="preserve">-0.421440</w:t>
            </w:r>
          </w:p>
        </w:tc>
        <w:tc>
          <w:tcPr/>
          <w:p>
            <w:pPr>
              <w:pStyle w:val="Compact"/>
              <w:jc w:val="right"/>
            </w:pPr>
            <w:r>
              <w:t xml:space="preserve">-0.333288</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-0.875772</w:t>
            </w:r>
          </w:p>
        </w:tc>
        <w:tc>
          <w:tcPr/>
          <w:p>
            <w:pPr>
              <w:pStyle w:val="Compact"/>
              <w:jc w:val="right"/>
            </w:pPr>
            <w:r>
              <w:t xml:space="preserve">-0.976925</w:t>
            </w:r>
          </w:p>
        </w:tc>
        <w:tc>
          <w:tcPr/>
          <w:p>
            <w:pPr>
              <w:pStyle w:val="Compact"/>
              <w:jc w:val="right"/>
            </w:pPr>
            <w:r>
              <w:t xml:space="preserve">-0.787776</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-0.507812</w:t>
            </w:r>
          </w:p>
        </w:tc>
        <w:tc>
          <w:tcPr/>
          <w:p>
            <w:pPr>
              <w:pStyle w:val="Compact"/>
              <w:jc w:val="right"/>
            </w:pPr>
            <w:r>
              <w:t xml:space="preserve">-0.626129</w:t>
            </w:r>
          </w:p>
        </w:tc>
        <w:tc>
          <w:tcPr/>
          <w:p>
            <w:pPr>
              <w:pStyle w:val="Compact"/>
              <w:jc w:val="right"/>
            </w:pPr>
            <w:r>
              <w:t xml:space="preserve">-0.391812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0.095154</w:t>
            </w:r>
          </w:p>
        </w:tc>
        <w:tc>
          <w:tcPr/>
          <w:p>
            <w:pPr>
              <w:pStyle w:val="Compact"/>
              <w:jc w:val="right"/>
            </w:pPr>
            <w:r>
              <w:t xml:space="preserve">0.060975</w:t>
            </w:r>
          </w:p>
        </w:tc>
        <w:tc>
          <w:tcPr/>
          <w:p>
            <w:pPr>
              <w:pStyle w:val="Compact"/>
              <w:jc w:val="right"/>
            </w:pPr>
            <w:r>
              <w:t xml:space="preserve">0.128764</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-0.199841</w:t>
            </w:r>
          </w:p>
        </w:tc>
        <w:tc>
          <w:tcPr/>
          <w:p>
            <w:pPr>
              <w:pStyle w:val="Compact"/>
              <w:jc w:val="right"/>
            </w:pPr>
            <w:r>
              <w:t xml:space="preserve">-0.253252</w:t>
            </w:r>
          </w:p>
        </w:tc>
        <w:tc>
          <w:tcPr/>
          <w:p>
            <w:pPr>
              <w:pStyle w:val="Compact"/>
              <w:jc w:val="right"/>
            </w:pPr>
            <w:r>
              <w:t xml:space="preserve">-0.151506</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-0.790718</w:t>
            </w:r>
          </w:p>
        </w:tc>
        <w:tc>
          <w:tcPr/>
          <w:p>
            <w:pPr>
              <w:pStyle w:val="Compact"/>
              <w:jc w:val="right"/>
            </w:pPr>
            <w:r>
              <w:t xml:space="preserve">-0.903235</w:t>
            </w:r>
          </w:p>
        </w:tc>
        <w:tc>
          <w:tcPr/>
          <w:p>
            <w:pPr>
              <w:pStyle w:val="Compact"/>
              <w:jc w:val="right"/>
            </w:pPr>
            <w:r>
              <w:t xml:space="preserve">-0.686492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-0.546558</w:t>
            </w:r>
          </w:p>
        </w:tc>
        <w:tc>
          <w:tcPr/>
          <w:p>
            <w:pPr>
              <w:pStyle w:val="Compact"/>
              <w:jc w:val="right"/>
            </w:pPr>
            <w:r>
              <w:t xml:space="preserve">-0.644759</w:t>
            </w:r>
          </w:p>
        </w:tc>
        <w:tc>
          <w:tcPr/>
          <w:p>
            <w:pPr>
              <w:pStyle w:val="Compact"/>
              <w:jc w:val="right"/>
            </w:pPr>
            <w:r>
              <w:t xml:space="preserve">-0.447792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-0.121545</w:t>
            </w:r>
          </w:p>
        </w:tc>
        <w:tc>
          <w:tcPr/>
          <w:p>
            <w:pPr>
              <w:pStyle w:val="Compact"/>
              <w:jc w:val="right"/>
            </w:pPr>
            <w:r>
              <w:t xml:space="preserve">-0.169156</w:t>
            </w:r>
          </w:p>
        </w:tc>
        <w:tc>
          <w:tcPr/>
          <w:p>
            <w:pPr>
              <w:pStyle w:val="Compact"/>
              <w:jc w:val="right"/>
            </w:pPr>
            <w:r>
              <w:t xml:space="preserve">-0.071252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-0.046250</w:t>
            </w:r>
          </w:p>
        </w:tc>
        <w:tc>
          <w:tcPr/>
          <w:p>
            <w:pPr>
              <w:pStyle w:val="Compact"/>
              <w:jc w:val="right"/>
            </w:pPr>
            <w:r>
              <w:t xml:space="preserve">-0.121375</w:t>
            </w:r>
          </w:p>
        </w:tc>
        <w:tc>
          <w:tcPr/>
          <w:p>
            <w:pPr>
              <w:pStyle w:val="Compact"/>
              <w:jc w:val="right"/>
            </w:pPr>
            <w:r>
              <w:t xml:space="preserve">0.021749</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-0.888181</w:t>
            </w:r>
          </w:p>
        </w:tc>
        <w:tc>
          <w:tcPr/>
          <w:p>
            <w:pPr>
              <w:pStyle w:val="Compact"/>
              <w:jc w:val="right"/>
            </w:pPr>
            <w:r>
              <w:t xml:space="preserve">-1.000000</w:t>
            </w:r>
          </w:p>
        </w:tc>
        <w:tc>
          <w:tcPr/>
          <w:p>
            <w:pPr>
              <w:pStyle w:val="Compact"/>
              <w:jc w:val="right"/>
            </w:pPr>
            <w:r>
              <w:t xml:space="preserve">-0.760532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bl>
    <w:p>
      <w:pPr>
        <w:pStyle w:val="CaptionedFigure"/>
      </w:pPr>
      <w:r>
        <w:drawing>
          <wp:inline>
            <wp:extent cx="6949440" cy="5460274"/>
            <wp:effectExtent b="0" l="0" r="0" t="0"/>
            <wp:docPr descr="Figure S2. Controlled ablation under the D2 test. The figure complements Table S12." title="" id="39" name="Picture"/>
            <a:graphic>
              <a:graphicData uri="http://schemas.openxmlformats.org/drawingml/2006/picture">
                <pic:pic>
                  <pic:nvPicPr>
                    <pic:cNvPr descr="../../entregables/figuras/supp_fig02_ablacion.png" id="40" name="Picture"/>
                    <pic:cNvPicPr>
                      <a:picLocks noChangeArrowheads="1" noChangeAspect="1"/>
                    </pic:cNvPicPr>
                  </pic:nvPicPr>
                  <pic:blipFill>
                    <a:blip r:embed="rId38"/>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8436"/>
            <wp:effectExtent b="0" l="0" r="0" t="0"/>
            <wp:docPr descr="Figure S3. Cost-loss curves with 95 % date-grouped bootstrap bands (B = 1 000). The propagation panel uses the full \alpha range; the ignition panel is truncated at \alpha=0.006 because the decision value is zero or negligible at larger values. The figure complements Table S14." title="" id="42" name="Picture"/>
            <a:graphic>
              <a:graphicData uri="http://schemas.openxmlformats.org/drawingml/2006/picture">
                <pic:pic>
                  <pic:nvPicPr>
                    <pic:cNvPr descr="../../entregables/figuras/supp_fig03_cost_loss.png" id="43" name="Picture"/>
                    <pic:cNvPicPr>
                      <a:picLocks noChangeArrowheads="1" noChangeAspect="1"/>
                    </pic:cNvPicPr>
                  </pic:nvPicPr>
                  <pic:blipFill>
                    <a:blip r:embed="rId41"/>
                    <a:stretch>
                      <a:fillRect/>
                    </a:stretch>
                  </pic:blipFill>
                  <pic:spPr bwMode="auto">
                    <a:xfrm>
                      <a:off x="0" y="0"/>
                      <a:ext cx="8252460" cy="32984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with 95 % date-grouped bootstrap bands (B = 1 000).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S14 (continued).</w:t>
      </w:r>
      <w:r>
        <w:t xml:space="preserve"> </w:t>
      </w:r>
      <w:r>
        <w:t xml:space="preserve">Threshold and metric sensitivity. Cutoffs for F0.5, F1, F2 and Youden are selected on 2023 validation; precision, recall and Fβ are computed on the 2024–2025 test. Figure S6 shows the validation curves.</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8252460" cy="6349599"/>
            <wp:effectExtent b="0" l="0" r="0" t="0"/>
            <wp:docPr descr="Figure S6. Validation precision, recall, F0.5, F1 and F2 versus cutoff for M3 ignition and the propagation model, by region. Vertical lines mark the F0.5, F1, F2 and Youden cutoffs; test metrics at those cutoffs are in Table S14 (continued)." title="" id="45" name="Picture"/>
            <a:graphic>
              <a:graphicData uri="http://schemas.openxmlformats.org/drawingml/2006/picture">
                <pic:pic>
                  <pic:nvPicPr>
                    <pic:cNvPr descr="../../entregables/figuras/supp_fig06_sensibilidad_umbral.png" id="46" name="Picture"/>
                    <pic:cNvPicPr>
                      <a:picLocks noChangeArrowheads="1" noChangeAspect="1"/>
                    </pic:cNvPicPr>
                  </pic:nvPicPr>
                  <pic:blipFill>
                    <a:blip r:embed="rId44"/>
                    <a:stretch>
                      <a:fillRect/>
                    </a:stretch>
                  </pic:blipFill>
                  <pic:spPr bwMode="auto">
                    <a:xfrm>
                      <a:off x="0" y="0"/>
                      <a:ext cx="8252460" cy="634959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Validation precision, recall, F0.5, F1 and F2 versus cutoff for M3 ignition and the propagation model, by region. Vertical lines mark the F0.5, F1, F2 and Youden cutoffs; test metrics at those cutoffs are in Table S14 (continued).</w:t>
      </w:r>
    </w:p>
    <w:p>
      <w:pPr>
        <w:pStyle w:val="CaptionedFigure"/>
      </w:pPr>
      <w:r>
        <w:drawing>
          <wp:inline>
            <wp:extent cx="6596524" cy="5657658"/>
            <wp:effectExtent b="0" l="0" r="0" t="0"/>
            <wp:docPr descr="Figure S4. Decision curve analysis: net benefit per 1 000 sampled cell-days as a function of the threshold probability p_t, computed on the case-control test sample. Ignition (0–0.30) and propagation (0–0.90) are shown separately by region. References are no alert (NB = 0), alert all and climatology. FWI and INPE are uncalibrated indices; for each p_t their operating threshold was selected on 2023 validation to maximise net benefit and then frozen for the test. The y-axis is clipped at −20; the alert-all reference falls below it at high p_t." title="" id="48" name="Picture"/>
            <a:graphic>
              <a:graphicData uri="http://schemas.openxmlformats.org/drawingml/2006/picture">
                <pic:pic>
                  <pic:nvPicPr>
                    <pic:cNvPr descr="../../entregables/figuras/supp_fig04_net_benefit.png" id="49" name="Picture"/>
                    <pic:cNvPicPr>
                      <a:picLocks noChangeArrowheads="1" noChangeAspect="1"/>
                    </pic:cNvPicPr>
                  </pic:nvPicPr>
                  <pic:blipFill>
                    <a:blip r:embed="rId47"/>
                    <a:stretch>
                      <a:fillRect/>
                    </a:stretch>
                  </pic:blipFill>
                  <pic:spPr bwMode="auto">
                    <a:xfrm>
                      <a:off x="0" y="0"/>
                      <a:ext cx="6596524" cy="565765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Decision curve analysis: net benefit per 1 000 sampled cell-days as a function of the threshold probability</w:t>
      </w:r>
      <w:r>
        <w:t xml:space="preserve"> </w:t>
      </w:r>
      <m:oMath>
        <m:sSub>
          <m:e>
            <m:r>
              <m:t>p</m:t>
            </m:r>
          </m:e>
          <m:sub>
            <m:r>
              <m:t>t</m:t>
            </m:r>
          </m:sub>
        </m:sSub>
      </m:oMath>
      <w:r>
        <w:t xml:space="preserve">, computed on the case-control test sample. Ignition (0–0.30) and propagation (0–0.90) are shown separately by region. References are no alert (NB = 0), alert all and climatology. FWI and INPE are uncalibrated indices; for each</w:t>
      </w:r>
      <w:r>
        <w:t xml:space="preserve"> </w:t>
      </w:r>
      <m:oMath>
        <m:sSub>
          <m:e>
            <m:r>
              <m:t>p</m:t>
            </m:r>
          </m:e>
          <m:sub>
            <m:r>
              <m:t>t</m:t>
            </m:r>
          </m:sub>
        </m:sSub>
      </m:oMath>
      <w:r>
        <w:t xml:space="preserve"> </w:t>
      </w:r>
      <w:r>
        <w:t xml:space="preserve">their operating threshold was selected on 2023 validation to maximise net benefit and then frozen for the test. The y-axis is clipped at −20; the alert-all reference falls below it at high</w:t>
      </w:r>
      <w:r>
        <w:t xml:space="preserve"> </w:t>
      </w:r>
      <m:oMath>
        <m:sSub>
          <m:e>
            <m:r>
              <m:t>p</m:t>
            </m:r>
          </m:e>
          <m:sub>
            <m:r>
              <m:t>t</m:t>
            </m:r>
          </m:sub>
        </m:sSub>
      </m:oMath>
      <w:r>
        <w:t xml:space="preserve">.</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51" name="Picture"/>
            <a:graphic>
              <a:graphicData uri="http://schemas.openxmlformats.org/drawingml/2006/picture">
                <pic:pic>
                  <pic:nvPicPr>
                    <pic:cNvPr descr="../../entregables/figuras/supp_fig08_presupuesto_alertas.png" id="52" name="Picture"/>
                    <pic:cNvPicPr>
                      <a:picLocks noChangeArrowheads="1" noChangeAspect="1"/>
                    </pic:cNvPicPr>
                  </pic:nvPicPr>
                  <pic:blipFill>
                    <a:blip r:embed="rId50"/>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1,060,895</w:t>
            </w:r>
          </w:p>
        </w:tc>
        <w:tc>
          <w:tcPr/>
          <w:p>
            <w:pPr>
              <w:pStyle w:val="Compact"/>
              <w:jc w:val="right"/>
            </w:pPr>
            <w:r>
              <w:t xml:space="preserve">96,445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1,060,895</w:t>
            </w:r>
          </w:p>
        </w:tc>
        <w:tc>
          <w:tcPr/>
          <w:p>
            <w:pPr>
              <w:pStyle w:val="Compact"/>
              <w:jc w:val="right"/>
            </w:pPr>
            <w:r>
              <w:t xml:space="preserve">96,445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10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S22.</w:t>
      </w:r>
      <w:r>
        <w:t xml:space="preserve"> </w:t>
      </w:r>
      <w:r>
        <w:t xml:space="preserve">Sensitivity of the INPE Fire Risk to the flammability constant A on the retrospective 2024–2025 test. The primary version uses the land-cover-weighted A from MapBiomas fractions (local A, cell-specific); the sensitivity version fixes A = 3.0, the INPE coefficient for open savanna, for every cell. Cutoffs were selected on 2023 validation by maximizing F0.5 and frozen for 2024–2025, so precision, recall and F0.5 refer to different operating points and are not directly comparable across rows. ΔROC is fixed A minus local A, with a paired date-grouped bootstrap (B = 1 000); positive values favour the fixed version. Both versions remain far below M3 (ROC-AUC 0.8021/0.7534; Table 4). In the test sample, local A averages 2.89 in Chaco and 3.71 in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0.5389 [0.529 - 0.549]</w:t>
            </w:r>
          </w:p>
        </w:tc>
        <w:tc>
          <w:tcPr/>
          <w:p>
            <w:pPr>
              <w:pStyle w:val="Compact"/>
              <w:jc w:val="right"/>
            </w:pPr>
            <w:r>
              <w:t xml:space="preserve">0.1031</w:t>
            </w:r>
          </w:p>
        </w:tc>
        <w:tc>
          <w:tcPr/>
          <w:p>
            <w:pPr>
              <w:pStyle w:val="Compact"/>
              <w:jc w:val="right"/>
            </w:pPr>
            <w:r>
              <w:t xml:space="preserve">0.8963</w:t>
            </w:r>
          </w:p>
        </w:tc>
        <w:tc>
          <w:tcPr/>
          <w:p>
            <w:pPr>
              <w:pStyle w:val="Compact"/>
              <w:jc w:val="right"/>
            </w:pPr>
            <w:r>
              <w:t xml:space="preserve">0.1172</w:t>
            </w:r>
          </w:p>
        </w:tc>
        <w:tc>
          <w:tcPr/>
          <w:p>
            <w:pPr>
              <w:pStyle w:val="Compact"/>
              <w:jc w:val="right"/>
            </w:pPr>
            <w:r>
              <w:t xml:space="preserve">0.1257</w:t>
            </w:r>
          </w:p>
        </w:tc>
        <w:tc>
          <w:tcPr/>
          <w:p>
            <w:pPr>
              <w:pStyle w:val="Compact"/>
              <w:jc w:val="right"/>
            </w:pPr>
            <w:r>
              <w:t xml:space="preserve">0.1188</w:t>
            </w:r>
          </w:p>
        </w:tc>
        <w:tc>
          <w:tcPr/>
          <w:p>
            <w:pPr>
              <w:pStyle w:val="Compact"/>
              <w:jc w:val="right"/>
            </w:pPr>
            <w:r>
              <w:t xml:space="preserve">15,207</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0.4979 [0.489 - 0.507]</w:t>
            </w:r>
          </w:p>
        </w:tc>
        <w:tc>
          <w:tcPr/>
          <w:p>
            <w:pPr>
              <w:pStyle w:val="Compact"/>
              <w:jc w:val="right"/>
            </w:pPr>
            <w:r>
              <w:t xml:space="preserve">0.0883</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158,080</w:t>
            </w:r>
          </w:p>
        </w:tc>
        <w:tc>
          <w:tcPr/>
          <w:p>
            <w:pPr>
              <w:pStyle w:val="Compact"/>
              <w:jc w:val="right"/>
            </w:pPr>
            <w:r>
              <w:t xml:space="preserve">-0.0409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0.4990 [0.488 - 0.510]</w:t>
            </w:r>
          </w:p>
        </w:tc>
        <w:tc>
          <w:tcPr/>
          <w:p>
            <w:pPr>
              <w:pStyle w:val="Compact"/>
              <w:jc w:val="right"/>
            </w:pPr>
            <w:r>
              <w:t xml:space="preserve">0.0908</w:t>
            </w:r>
          </w:p>
        </w:tc>
        <w:tc>
          <w:tcPr/>
          <w:p>
            <w:pPr>
              <w:pStyle w:val="Compact"/>
              <w:jc w:val="right"/>
            </w:pPr>
            <w:r>
              <w:t xml:space="preserve">0.0750</w:t>
            </w:r>
          </w:p>
        </w:tc>
        <w:tc>
          <w:tcPr/>
          <w:p>
            <w:pPr>
              <w:pStyle w:val="Compact"/>
              <w:jc w:val="right"/>
            </w:pPr>
            <w:r>
              <w:t xml:space="preserve">0.0924</w:t>
            </w:r>
          </w:p>
        </w:tc>
        <w:tc>
          <w:tcPr/>
          <w:p>
            <w:pPr>
              <w:pStyle w:val="Compact"/>
              <w:jc w:val="right"/>
            </w:pPr>
            <w:r>
              <w:t xml:space="preserve">0.7947</w:t>
            </w:r>
          </w:p>
        </w:tc>
        <w:tc>
          <w:tcPr/>
          <w:p>
            <w:pPr>
              <w:pStyle w:val="Compact"/>
              <w:jc w:val="right"/>
            </w:pPr>
            <w:r>
              <w:t xml:space="preserve">0.1123</w:t>
            </w:r>
          </w:p>
        </w:tc>
        <w:tc>
          <w:tcPr/>
          <w:p>
            <w:pPr>
              <w:pStyle w:val="Compact"/>
              <w:jc w:val="right"/>
            </w:pPr>
            <w:r>
              <w:t xml:space="preserve">141,802</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15,082</w:t>
            </w:r>
          </w:p>
        </w:tc>
        <w:tc>
          <w:tcPr/>
          <w:p>
            <w:pPr>
              <w:pStyle w:val="Compact"/>
              <w:jc w:val="right"/>
            </w:pPr>
            <w:r>
              <w:t xml:space="preserve">+0.0508 (0.001)</w:t>
            </w:r>
          </w:p>
        </w:tc>
      </w:tr>
    </w:tbl>
    <w:p>
      <w:pPr>
        <w:pStyle w:val="BodyText"/>
      </w:pPr>
      <w:r>
        <w:rPr>
          <w:b/>
          <w:bCs/>
        </w:rPr>
        <w:t xml:space="preserve">Table S23.</w:t>
      </w:r>
      <w:r>
        <w:t xml:space="preserve"> </w:t>
      </w:r>
      <w:r>
        <w:t xml:space="preserve">Net benefit per 1 000 sampled cell-days at selected threshold probabilities from the decision curve analysis (Figure S4), computed on the case-control test sample. References (no alert, alert all, climatology) are shown in the figure.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0.093</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1.839</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43.579</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43.014</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2.793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-1.091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0.036</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Table S23 (continued).</w:t>
      </w:r>
      <w:r>
        <w:t xml:space="preserve"> </w:t>
      </w:r>
      <w:r>
        <w:t xml:space="preserve">Operational load at the frozen population cutoff and at top-k alert budgets (K = 10, 50, 100 alerts/day). Alerts/day, precision, recall and lift are population-weighted; alerts/hit = 1/precision; α* maximizes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Table S24.</w:t>
      </w:r>
      <w:r>
        <w:t xml:space="preserve"> </w:t>
      </w:r>
      <w:r>
        <w:t xml:space="preserve">Paired date-grouped bootstrap differences in decision value, ΔV(α) = V(M3) − V(reference), for M2 and FWI. Positive values favor M3. Intervals are 95 % percentile intervals from B = 1 000 date resamples; p is two-sided.</w:t>
      </w:r>
      <w:r>
        <w:t xml:space="preserve"> </w:t>
      </w:r>
      <w:r>
        <w:t xml:space="preserve">“Yes”</w:t>
      </w:r>
      <w:r>
        <w:t xml:space="preserve"> </w:t>
      </w:r>
      <w:r>
        <w:t xml:space="preserve">marks α where the interval excludes zero. For FWI, the threshold at each α was selected on 2023 validation to maximize V(α) and then frozen for the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0.0687</w:t>
            </w:r>
          </w:p>
        </w:tc>
        <w:tc>
          <w:tcPr/>
          <w:p>
            <w:pPr>
              <w:pStyle w:val="Compact"/>
              <w:jc w:val="right"/>
            </w:pPr>
            <w:r>
              <w:t xml:space="preserve">+0.3033</w:t>
            </w:r>
          </w:p>
        </w:tc>
        <w:tc>
          <w:tcPr/>
          <w:p>
            <w:pPr>
              <w:pStyle w:val="Compact"/>
            </w:pPr>
            <w:r>
              <w:t xml:space="preserve">[+0.2839, +0.3222]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0.0236</w:t>
            </w:r>
          </w:p>
        </w:tc>
        <w:tc>
          <w:tcPr/>
          <w:p>
            <w:pPr>
              <w:pStyle w:val="Compact"/>
              <w:jc w:val="right"/>
            </w:pPr>
            <w:r>
              <w:t xml:space="preserve">+0.3477</w:t>
            </w:r>
          </w:p>
        </w:tc>
        <w:tc>
          <w:tcPr/>
          <w:p>
            <w:pPr>
              <w:pStyle w:val="Compact"/>
            </w:pPr>
            <w:r>
              <w:t xml:space="preserve">[+0.3200, +0.3735]</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0.0010</w:t>
            </w:r>
          </w:p>
        </w:tc>
        <w:tc>
          <w:tcPr/>
          <w:p>
            <w:pPr>
              <w:pStyle w:val="Compact"/>
              <w:jc w:val="right"/>
            </w:pPr>
            <w:r>
              <w:t xml:space="preserve">+0.1013</w:t>
            </w:r>
          </w:p>
        </w:tc>
        <w:tc>
          <w:tcPr/>
          <w:p>
            <w:pPr>
              <w:pStyle w:val="Compact"/>
            </w:pPr>
            <w:r>
              <w:t xml:space="preserve">[+0.0863, +0.1147]</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0.0000</w:t>
            </w:r>
          </w:p>
        </w:tc>
        <w:tc>
          <w:tcPr/>
          <w:p>
            <w:pPr>
              <w:pStyle w:val="Compact"/>
              <w:jc w:val="right"/>
            </w:pPr>
            <w:r>
              <w:t xml:space="preserve">+0.0155</w:t>
            </w:r>
          </w:p>
        </w:tc>
        <w:tc>
          <w:tcPr/>
          <w:p>
            <w:pPr>
              <w:pStyle w:val="Compact"/>
            </w:pPr>
            <w:r>
              <w:t xml:space="preserve">[+0.0104, +0.0204]</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0.0178</w:t>
            </w:r>
          </w:p>
        </w:tc>
        <w:tc>
          <w:tcPr/>
          <w:p>
            <w:pPr>
              <w:pStyle w:val="Compact"/>
              <w:jc w:val="right"/>
            </w:pPr>
            <w:r>
              <w:t xml:space="preserve">+0.1006</w:t>
            </w:r>
          </w:p>
        </w:tc>
        <w:tc>
          <w:tcPr/>
          <w:p>
            <w:pPr>
              <w:pStyle w:val="Compact"/>
            </w:pPr>
            <w:r>
              <w:t xml:space="preserve">[+0.0853, +0.1165]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0.0632</w:t>
            </w:r>
          </w:p>
        </w:tc>
        <w:tc>
          <w:tcPr/>
          <w:p>
            <w:pPr>
              <w:pStyle w:val="Compact"/>
              <w:jc w:val="right"/>
            </w:pPr>
            <w:r>
              <w:t xml:space="preserve">+0.1642</w:t>
            </w:r>
          </w:p>
        </w:tc>
        <w:tc>
          <w:tcPr/>
          <w:p>
            <w:pPr>
              <w:pStyle w:val="Compact"/>
            </w:pPr>
            <w:r>
              <w:t xml:space="preserve">[+0.1403, +0.1873]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0.0990</w:t>
            </w:r>
          </w:p>
        </w:tc>
        <w:tc>
          <w:tcPr/>
          <w:p>
            <w:pPr>
              <w:pStyle w:val="Compact"/>
              <w:jc w:val="right"/>
            </w:pPr>
            <w:r>
              <w:t xml:space="preserve">+0.2140</w:t>
            </w:r>
          </w:p>
        </w:tc>
        <w:tc>
          <w:tcPr/>
          <w:p>
            <w:pPr>
              <w:pStyle w:val="Compact"/>
            </w:pPr>
            <w:r>
              <w:t xml:space="preserve">[+0.1837, +0.2429]</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0.0041</w:t>
            </w:r>
          </w:p>
        </w:tc>
        <w:tc>
          <w:tcPr/>
          <w:p>
            <w:pPr>
              <w:pStyle w:val="Compact"/>
              <w:jc w:val="right"/>
            </w:pPr>
            <w:r>
              <w:t xml:space="preserve">+0.1053</w:t>
            </w:r>
          </w:p>
        </w:tc>
        <w:tc>
          <w:tcPr/>
          <w:p>
            <w:pPr>
              <w:pStyle w:val="Compact"/>
            </w:pPr>
            <w:r>
              <w:t xml:space="preserve">[+0.0891, +0.1203]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Table S25.</w:t>
      </w:r>
      <w:r>
        <w:t xml:space="preserve"> </w:t>
      </w:r>
      <w:r>
        <w:t xml:space="preserve">Stability of M2 and M3 to random seed and capacity (5 seeds × 2 capacities per region). The high-capacity variant increases leaves and boosting rounds by 20 %. ΔROC is M3 − M2 within the same seed and capacity; the 95 % CI is a t interval across runs, and the last column is the fraction of runs with positive Δ.</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Table S26.</w:t>
      </w:r>
      <w:r>
        <w:t xml:space="preserve"> </w:t>
      </w:r>
      <w:r>
        <w:t xml:space="preserve">Rolling-origin backtest. Each fold trains through Y−2, validates on Y−1 (cutoff and Platt calibration), and tests on Y. M1/M2/M3 are retrained in each fold; ΔROC is M3−M2 with a paired date-grouped bootstrap (B = 1 000). Figure S5 plots the fold trajectories.</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+0.0084 (0.001)</w:t>
            </w:r>
          </w:p>
        </w:tc>
      </w:tr>
    </w:tbl>
    <w:p>
      <w:pPr>
        <w:pStyle w:val="CaptionedFigure"/>
      </w:pPr>
      <w:r>
        <w:drawing>
          <wp:inline>
            <wp:extent cx="8252460" cy="3409532"/>
            <wp:effectExtent b="0" l="0" r="0" t="0"/>
            <wp:docPr descr="Figure S5. Rolling-origin ROC-AUC by test year for M1, M2 and M3. Numbers next to M3 are ΔROC(M3−M2)." title="" id="54" name="Picture"/>
            <a:graphic>
              <a:graphicData uri="http://schemas.openxmlformats.org/drawingml/2006/picture">
                <pic:pic>
                  <pic:nvPicPr>
                    <pic:cNvPr descr="../../entregables/figuras/supp_fig05_rolling_origin.png" id="55" name="Picture"/>
                    <pic:cNvPicPr>
                      <a:picLocks noChangeArrowheads="1" noChangeAspect="1"/>
                    </pic:cNvPicPr>
                  </pic:nvPicPr>
                  <pic:blipFill>
                    <a:blip r:embed="rId53"/>
                    <a:stretch>
                      <a:fillRect/>
                    </a:stretch>
                  </pic:blipFill>
                  <pic:spPr bwMode="auto">
                    <a:xfrm>
                      <a:off x="0" y="0"/>
                      <a:ext cx="8252460" cy="3409532"/>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Rolling-origin ROC-AUC by test year for M1, M2 and M3. Numbers next to M3 are ΔROC(M3−M2).</w:t>
      </w:r>
    </w:p>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Table S28.</w:t>
      </w:r>
      <w:r>
        <w:t xml:space="preserve"> </w:t>
      </w:r>
      <w:r>
        <w:t xml:space="preserve">Sampling-ratio sensitivity. The 1:5 row downsamples training negatives from the frozen 1:10 sample; the 1:20 row uses independent negatives from a separate 20:1 plan generated from the full candidate archive. Validation and test remain at 1:10 so metrics are comparable. Population precision applies the prevalence correction.</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(independientes)</w:t>
            </w:r>
          </w:p>
        </w:tc>
        <w:tc>
          <w:tcPr/>
          <w:p>
            <w:pPr>
              <w:pStyle w:val="Compact"/>
            </w:pPr>
            <w:r>
              <w:t xml:space="preserve">M2</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(independientes)</w:t>
            </w:r>
          </w:p>
        </w:tc>
        <w:tc>
          <w:tcPr/>
          <w:p>
            <w:pPr>
              <w:pStyle w:val="Compact"/>
            </w:pPr>
            <w:r>
              <w:t xml:space="preserve">M3</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(independientes)</w:t>
            </w:r>
          </w:p>
        </w:tc>
        <w:tc>
          <w:tcPr/>
          <w:p>
            <w:pPr>
              <w:pStyle w:val="Compact"/>
            </w:pPr>
            <w:r>
              <w:t xml:space="preserve">M2</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(independientes)</w:t>
            </w:r>
          </w:p>
        </w:tc>
        <w:tc>
          <w:tcPr/>
          <w:p>
            <w:pPr>
              <w:pStyle w:val="Compact"/>
            </w:pPr>
            <w:r>
              <w:t xml:space="preserve">M3</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Table S29.</w:t>
      </w:r>
      <w:r>
        <w:t xml:space="preserve"> </w:t>
      </w:r>
      <w:r>
        <w:t xml:space="preserve">Adversarial validation between training (2018–2022) and test (2024–2025) rows using the M3 feature set. AUC is the mean of five stratified folds; the top features are ranked by mean LightGBM gain. High AUC indicates distribution shift, not model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Table S30.</w:t>
      </w:r>
      <w:r>
        <w:t xml:space="preserve"> </w:t>
      </w:r>
      <w:r>
        <w:t xml:space="preserve">VIIRS label-quality variants.</w:t>
      </w:r>
      <w:r>
        <w:t xml:space="preserve"> </w:t>
      </w:r>
      <w:r>
        <w:rPr>
          <w:rStyle w:val="VerbatimChar"/>
        </w:rPr>
        <w:t xml:space="preserve">high_confidence</w:t>
      </w:r>
      <w:r>
        <w:t xml:space="preserve"> </w:t>
      </w:r>
      <w:r>
        <w:t xml:space="preserve">keeps high-confidence detections;</w:t>
      </w:r>
      <w:r>
        <w:t xml:space="preserve"> </w:t>
      </w:r>
      <w:r>
        <w:rPr>
          <w:rStyle w:val="VerbatimChar"/>
        </w:rPr>
        <w:t xml:space="preserve">frp_ge_10</w:t>
      </w:r>
      <w:r>
        <w:t xml:space="preserve"> </w:t>
      </w:r>
      <w:r>
        <w:t xml:space="preserve">keeps detections with FRP ≥ 10 MW. Variants are applied to positive rows of the frozen 1:10 sample; negatives are unchanged. The cloud-cover &lt; 40 % variant is not reported: FIRMS lacks a cloud mask and the ERA5 total-cloud proxy download did not complete in the CDS queue. This is a label sensitivity, not a full D2 reconstruction.</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Table S31.</w:t>
      </w:r>
      <w:r>
        <w:t xml:space="preserve"> </w:t>
      </w:r>
      <w:r>
        <w:t xml:space="preserve">Gate threshold ablation. The baseline gate is VPD ≥ 0.8 kPa and 48-h rainfall &lt; 10 mm; stricter variants retain 73–92 % of positives. The no-gate row uses an independent 1:10 sample generated without the biophysical filter from the full candidate archive. FWI is evaluated on the same rows.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0.5173</w:t>
            </w:r>
          </w:p>
        </w:tc>
        <w:tc>
          <w:tcPr/>
          <w:p>
            <w:pPr>
              <w:pStyle w:val="Compact"/>
              <w:jc w:val="right"/>
            </w:pPr>
            <w:r>
              <w:t xml:space="preserve">+0.0030</w:t>
            </w:r>
          </w:p>
        </w:tc>
      </w:tr>
      <w:tr>
        <w:tc>
          <w:tcPr/>
          <w:p>
            <w:pPr>
              <w:pStyle w:val="Compact"/>
            </w:pPr>
            <w:r>
              <w:t xml:space="preserve">Chaco</w:t>
            </w:r>
          </w:p>
        </w:tc>
        <w:tc>
          <w:tcPr/>
          <w:p>
            <w:pPr>
              <w:pStyle w:val="Compact"/>
            </w:pPr>
            <w:r>
              <w:t xml:space="preserve">sin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0.5105</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0.5140</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0.5096</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0.5564</w:t>
            </w:r>
          </w:p>
        </w:tc>
        <w:tc>
          <w:tcPr/>
          <w:p>
            <w:pPr>
              <w:pStyle w:val="Compact"/>
              <w:jc w:val="right"/>
            </w:pPr>
            <w:r>
              <w:t xml:space="preserve">+0.0128</w:t>
            </w:r>
          </w:p>
        </w:tc>
      </w:tr>
      <w:tr>
        <w:tc>
          <w:tcPr/>
          <w:p>
            <w:pPr>
              <w:pStyle w:val="Compact"/>
            </w:pPr>
            <w:r>
              <w:t xml:space="preserve">Oriental</w:t>
            </w:r>
          </w:p>
        </w:tc>
        <w:tc>
          <w:tcPr/>
          <w:p>
            <w:pPr>
              <w:pStyle w:val="Compact"/>
            </w:pPr>
            <w:r>
              <w:t xml:space="preserve">sin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0.5457</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0.5444</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0.5342</w:t>
            </w:r>
          </w:p>
        </w:tc>
        <w:tc>
          <w:tcPr/>
          <w:p>
            <w:pPr>
              <w:pStyle w:val="Compact"/>
              <w:jc w:val="right"/>
            </w:pPr>
            <w:r>
              <w:t xml:space="preserve">+0.0131</w:t>
            </w:r>
          </w:p>
        </w:tc>
      </w:tr>
    </w:tbl>
    <w:p>
      <w:pPr>
        <w:pStyle w:val="BodyText"/>
      </w:pPr>
      <w:r>
        <w:rPr>
          <w:b/>
          <w:bCs/>
        </w:rPr>
        <w:t xml:space="preserve">Table S32.</w:t>
      </w:r>
      <w:r>
        <w:t xml:space="preserve"> </w:t>
      </w:r>
      <w:r>
        <w:t xml:space="preserve">Negative control and permutation importance. The negative control retrains M3 with permuted training labels; AUC should be ~0.5. Permutation importance is the mean ΔROC after shuffling each feature or family on the test set (three repeats). The negative-control AUC remains above 0.5 in Chaco, so the score should not be read causally; historical features dominate in Chaco, while static cell-level information and train/test overlap remain additional sources. Figure S7 shows the individual permutation rankings.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CaptionedFigure"/>
      </w:pPr>
      <w:r>
        <w:drawing>
          <wp:inline>
            <wp:extent cx="8252460" cy="3706527"/>
            <wp:effectExtent b="0" l="0" r="0" t="0"/>
            <wp:docPr descr="Figure S7. Permutation importance of the M3 features on the retrospective test (mean ΔROC after shuffling, three repeats), by region." title="" id="57" name="Picture"/>
            <a:graphic>
              <a:graphicData uri="http://schemas.openxmlformats.org/drawingml/2006/picture">
                <pic:pic>
                  <pic:nvPicPr>
                    <pic:cNvPr descr="../../entregables/figuras/supp_fig07_permutation_importance.png" id="58" name="Picture"/>
                    <pic:cNvPicPr>
                      <a:picLocks noChangeArrowheads="1" noChangeAspect="1"/>
                    </pic:cNvPicPr>
                  </pic:nvPicPr>
                  <pic:blipFill>
                    <a:blip r:embed="rId56"/>
                    <a:stretch>
                      <a:fillRect/>
                    </a:stretch>
                  </pic:blipFill>
                  <pic:spPr bwMode="auto">
                    <a:xfrm>
                      <a:off x="0" y="0"/>
                      <a:ext cx="8252460" cy="370652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Permutation importance of the M3 features on the retrospective test (mean ΔROC after shuffling, three repeats), by region.</w:t>
      </w:r>
    </w:p>
    <w:p>
      <w:pPr>
        <w:pStyle w:val="BodyText"/>
      </w:pPr>
      <w:r>
        <w:rPr>
          <w:b/>
          <w:bCs/>
        </w:rPr>
        <w:t xml:space="preserve">Table S33.</w:t>
      </w:r>
      <w:r>
        <w:t xml:space="preserve"> </w:t>
      </w:r>
      <w:r>
        <w:t xml:space="preserve">External spatial validation in Boquerón. Boquerón and a 25-km buffer were excluded from training and validation; causal priors were recomputed without those cells. M2/M3 were retrained and calibrated on 2023 outside the buffer; FWI/INPE cutoffs were selected on the same 2023 rows. Metrics are at the F0.5 cutoff on 2024–2025 Boquerón rows (66,845 rows; 5,038 positives). Case-control and population precision/recall are reported; population weights use department-level D2 counts reconstructed from the full candidate archive. ΔROC is M3−M2 with a paired date-grouped bootstrap (B = 1 000). Population precision is a fraction; multiply by 100 for %.</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Precision pop.</w:t>
            </w:r>
          </w:p>
        </w:tc>
        <w:tc>
          <w:tcPr/>
          <w:p>
            <w:pPr>
              <w:pStyle w:val="Compact"/>
              <w:jc w:val="right"/>
            </w:pPr>
            <w:r>
              <w:t xml:space="preserve">Recall pop.</w:t>
            </w:r>
          </w:p>
        </w:tc>
        <w:tc>
          <w:tcPr/>
          <w:p>
            <w:pPr>
              <w:pStyle w:val="Compact"/>
              <w:jc w:val="right"/>
            </w:pPr>
            <w:r>
              <w:t xml:space="preserve">FP</w:t>
            </w:r>
          </w:p>
        </w:tc>
        <w:tc>
          <w:tcPr/>
          <w:p>
            <w:pPr>
              <w:pStyle w:val="Compact"/>
              <w:jc w:val="right"/>
            </w:pPr>
            <w:r>
              <w:t xml:space="preserve">ΔROC vs M2 (p)</w:t>
            </w:r>
          </w:p>
        </w:tc>
      </w:tr>
      <w:tr>
        <w:tc>
          <w:tcPr/>
          <w:p>
            <w:pPr>
              <w:pStyle w:val="Compact"/>
            </w:pPr>
            <w:r>
              <w:t xml:space="preserve">M2</w:t>
            </w:r>
          </w:p>
        </w:tc>
        <w:tc>
          <w:tcPr/>
          <w:p>
            <w:pPr>
              <w:pStyle w:val="Compact"/>
            </w:pPr>
            <w:r>
              <w:t xml:space="preserve">0.8104 [0.803–0.818]</w:t>
            </w:r>
          </w:p>
        </w:tc>
        <w:tc>
          <w:tcPr/>
          <w:p>
            <w:pPr>
              <w:pStyle w:val="Compact"/>
              <w:jc w:val="right"/>
            </w:pPr>
            <w:r>
              <w:t xml:space="preserve">0.2440</w:t>
            </w:r>
          </w:p>
        </w:tc>
        <w:tc>
          <w:tcPr/>
          <w:p>
            <w:pPr>
              <w:pStyle w:val="Compact"/>
              <w:jc w:val="right"/>
            </w:pPr>
            <w:r>
              <w:t xml:space="preserve">0.0626</w:t>
            </w:r>
          </w:p>
        </w:tc>
        <w:tc>
          <w:tcPr/>
          <w:p>
            <w:pPr>
              <w:pStyle w:val="Compact"/>
              <w:jc w:val="right"/>
            </w:pPr>
            <w:r>
              <w:t xml:space="preserve">0.0124</w:t>
            </w:r>
          </w:p>
        </w:tc>
        <w:tc>
          <w:tcPr/>
          <w:p>
            <w:pPr>
              <w:pStyle w:val="Compact"/>
              <w:jc w:val="right"/>
            </w:pPr>
            <w:r>
              <w:t xml:space="preserve">0.2542</w:t>
            </w:r>
          </w:p>
        </w:tc>
        <w:tc>
          <w:tcPr/>
          <w:p>
            <w:pPr>
              <w:pStyle w:val="Compact"/>
              <w:jc w:val="right"/>
            </w:pPr>
            <w:r>
              <w:t xml:space="preserve">0.3512</w:t>
            </w:r>
          </w:p>
        </w:tc>
        <w:tc>
          <w:tcPr/>
          <w:p>
            <w:pPr>
              <w:pStyle w:val="Compact"/>
              <w:jc w:val="right"/>
            </w:pPr>
            <w:r>
              <w:t xml:space="preserve">0.1624</w:t>
            </w:r>
          </w:p>
        </w:tc>
        <w:tc>
          <w:tcPr/>
          <w:p>
            <w:pPr>
              <w:pStyle w:val="Compact"/>
              <w:jc w:val="right"/>
            </w:pPr>
            <w:r>
              <w:t xml:space="preserve">0.2849</w:t>
            </w:r>
          </w:p>
        </w:tc>
        <w:tc>
          <w:tcPr/>
          <w:p>
            <w:pPr>
              <w:pStyle w:val="Compact"/>
              <w:jc w:val="right"/>
            </w:pPr>
            <w:r>
              <w:t xml:space="preserve">0.000891</w:t>
            </w:r>
          </w:p>
        </w:tc>
        <w:tc>
          <w:tcPr/>
          <w:p>
            <w:pPr>
              <w:pStyle w:val="Compact"/>
              <w:jc w:val="right"/>
            </w:pPr>
            <w:r>
              <w:t xml:space="preserve">0.1624</w:t>
            </w:r>
          </w:p>
        </w:tc>
        <w:tc>
          <w:tcPr/>
          <w:p>
            <w:pPr>
              <w:pStyle w:val="Compact"/>
              <w:jc w:val="right"/>
            </w:pPr>
            <w:r>
              <w:t xml:space="preserve">1,511</w:t>
            </w:r>
          </w:p>
        </w:tc>
        <w:tc>
          <w:tcPr/>
          <w:p>
            <w:pPr>
              <w:pStyle w:val="Compact"/>
              <w:jc w:val="right"/>
            </w:pPr>
            <w:r>
              <w:t xml:space="preserve">—</w:t>
            </w:r>
          </w:p>
        </w:tc>
      </w:tr>
      <w:tr>
        <w:tc>
          <w:tcPr/>
          <w:p>
            <w:pPr>
              <w:pStyle w:val="Compact"/>
            </w:pPr>
            <w:r>
              <w:t xml:space="preserve">M3</w:t>
            </w:r>
          </w:p>
        </w:tc>
        <w:tc>
          <w:tcPr/>
          <w:p>
            <w:pPr>
              <w:pStyle w:val="Compact"/>
            </w:pPr>
            <w:r>
              <w:t xml:space="preserve">0.8120 [0.804–0.820]</w:t>
            </w:r>
          </w:p>
        </w:tc>
        <w:tc>
          <w:tcPr/>
          <w:p>
            <w:pPr>
              <w:pStyle w:val="Compact"/>
              <w:jc w:val="right"/>
            </w:pPr>
            <w:r>
              <w:t xml:space="preserve">0.2505</w:t>
            </w:r>
          </w:p>
        </w:tc>
        <w:tc>
          <w:tcPr/>
          <w:p>
            <w:pPr>
              <w:pStyle w:val="Compact"/>
              <w:jc w:val="right"/>
            </w:pPr>
            <w:r>
              <w:t xml:space="preserve">0.0624</w:t>
            </w:r>
          </w:p>
        </w:tc>
        <w:tc>
          <w:tcPr/>
          <w:p>
            <w:pPr>
              <w:pStyle w:val="Compact"/>
              <w:jc w:val="right"/>
            </w:pPr>
            <w:r>
              <w:t xml:space="preserve">0.0104</w:t>
            </w:r>
          </w:p>
        </w:tc>
        <w:tc>
          <w:tcPr/>
          <w:p>
            <w:pPr>
              <w:pStyle w:val="Compact"/>
              <w:jc w:val="right"/>
            </w:pPr>
            <w:r>
              <w:t xml:space="preserve">0.2370</w:t>
            </w:r>
          </w:p>
        </w:tc>
        <w:tc>
          <w:tcPr/>
          <w:p>
            <w:pPr>
              <w:pStyle w:val="Compact"/>
              <w:jc w:val="right"/>
            </w:pPr>
            <w:r>
              <w:t xml:space="preserve">0.2911</w:t>
            </w:r>
          </w:p>
        </w:tc>
        <w:tc>
          <w:tcPr/>
          <w:p>
            <w:pPr>
              <w:pStyle w:val="Compact"/>
              <w:jc w:val="right"/>
            </w:pPr>
            <w:r>
              <w:t xml:space="preserve">0.2707</w:t>
            </w:r>
          </w:p>
        </w:tc>
        <w:tc>
          <w:tcPr/>
          <w:p>
            <w:pPr>
              <w:pStyle w:val="Compact"/>
              <w:jc w:val="right"/>
            </w:pPr>
            <w:r>
              <w:t xml:space="preserve">0.2868</w:t>
            </w:r>
          </w:p>
        </w:tc>
        <w:tc>
          <w:tcPr/>
          <w:p>
            <w:pPr>
              <w:pStyle w:val="Compact"/>
              <w:jc w:val="right"/>
            </w:pPr>
            <w:r>
              <w:t xml:space="preserve">0.000678</w:t>
            </w:r>
          </w:p>
        </w:tc>
        <w:tc>
          <w:tcPr/>
          <w:p>
            <w:pPr>
              <w:pStyle w:val="Compact"/>
              <w:jc w:val="right"/>
            </w:pPr>
            <w:r>
              <w:t xml:space="preserve">0.2705</w:t>
            </w:r>
          </w:p>
        </w:tc>
        <w:tc>
          <w:tcPr/>
          <w:p>
            <w:pPr>
              <w:pStyle w:val="Compact"/>
              <w:jc w:val="right"/>
            </w:pPr>
            <w:r>
              <w:t xml:space="preserve">3,322</w:t>
            </w:r>
          </w:p>
        </w:tc>
        <w:tc>
          <w:tcPr/>
          <w:p>
            <w:pPr>
              <w:pStyle w:val="Compact"/>
              <w:jc w:val="right"/>
            </w:pPr>
            <w:r>
              <w:t xml:space="preserve">+0.0016 (0.254)</w:t>
            </w:r>
          </w:p>
        </w:tc>
      </w:tr>
      <w:tr>
        <w:tc>
          <w:tcPr/>
          <w:p>
            <w:pPr>
              <w:pStyle w:val="Compact"/>
            </w:pPr>
            <w:r>
              <w:t xml:space="preserve">FWI</w:t>
            </w:r>
          </w:p>
        </w:tc>
        <w:tc>
          <w:tcPr/>
          <w:p>
            <w:pPr>
              <w:pStyle w:val="Compact"/>
            </w:pPr>
            <w:r>
              <w:t xml:space="preserve">0.4719 [0.457–0.488]</w:t>
            </w:r>
          </w:p>
        </w:tc>
        <w:tc>
          <w:tcPr/>
          <w:p>
            <w:pPr>
              <w:pStyle w:val="Compact"/>
              <w:jc w:val="right"/>
            </w:pPr>
            <w:r>
              <w:t xml:space="preserve">0.0685</w:t>
            </w:r>
          </w:p>
        </w:tc>
        <w:tc>
          <w:tcPr/>
          <w:p>
            <w:pPr>
              <w:pStyle w:val="Compact"/>
              <w:jc w:val="right"/>
            </w:pPr>
            <w:r>
              <w:t xml:space="preserve">—</w:t>
            </w:r>
          </w:p>
        </w:tc>
        <w:tc>
          <w:tcPr/>
          <w:p>
            <w:pPr>
              <w:pStyle w:val="Compact"/>
              <w:jc w:val="right"/>
            </w:pPr>
            <w:r>
              <w:t xml:space="preserve">—</w:t>
            </w:r>
          </w:p>
        </w:tc>
        <w:tc>
          <w:tcPr/>
          <w:p>
            <w:pPr>
              <w:pStyle w:val="Compact"/>
              <w:jc w:val="right"/>
            </w:pPr>
            <w:r>
              <w:t xml:space="preserve">3.2369</w:t>
            </w:r>
          </w:p>
        </w:tc>
        <w:tc>
          <w:tcPr/>
          <w:p>
            <w:pPr>
              <w:pStyle w:val="Compact"/>
              <w:jc w:val="right"/>
            </w:pPr>
            <w:r>
              <w:t xml:space="preserve">0.0679</w:t>
            </w:r>
          </w:p>
        </w:tc>
        <w:tc>
          <w:tcPr/>
          <w:p>
            <w:pPr>
              <w:pStyle w:val="Compact"/>
              <w:jc w:val="right"/>
            </w:pPr>
            <w:r>
              <w:t xml:space="preserve">0.4043</w:t>
            </w:r>
          </w:p>
        </w:tc>
        <w:tc>
          <w:tcPr/>
          <w:p>
            <w:pPr>
              <w:pStyle w:val="Compact"/>
              <w:jc w:val="right"/>
            </w:pPr>
            <w:r>
              <w:t xml:space="preserve">0.0814</w:t>
            </w:r>
          </w:p>
        </w:tc>
        <w:tc>
          <w:tcPr/>
          <w:p>
            <w:pPr>
              <w:pStyle w:val="Compact"/>
              <w:jc w:val="right"/>
            </w:pPr>
            <w:r>
              <w:t xml:space="preserve">0.000153</w:t>
            </w:r>
          </w:p>
        </w:tc>
        <w:tc>
          <w:tcPr/>
          <w:p>
            <w:pPr>
              <w:pStyle w:val="Compact"/>
              <w:jc w:val="right"/>
            </w:pPr>
            <w:r>
              <w:t xml:space="preserve">0.4043</w:t>
            </w:r>
          </w:p>
        </w:tc>
        <w:tc>
          <w:tcPr/>
          <w:p>
            <w:pPr>
              <w:pStyle w:val="Compact"/>
              <w:jc w:val="right"/>
            </w:pPr>
            <w:r>
              <w:t xml:space="preserve">27,976</w:t>
            </w:r>
          </w:p>
        </w:tc>
        <w:tc>
          <w:tcPr/>
          <w:p>
            <w:pPr>
              <w:pStyle w:val="Compact"/>
              <w:jc w:val="right"/>
            </w:pPr>
            <w:r>
              <w:t xml:space="preserve">—</w:t>
            </w:r>
          </w:p>
        </w:tc>
      </w:tr>
      <w:tr>
        <w:tc>
          <w:tcPr/>
          <w:p>
            <w:pPr>
              <w:pStyle w:val="Compact"/>
            </w:pPr>
            <w:r>
              <w:t xml:space="preserve">INPE</w:t>
            </w:r>
          </w:p>
        </w:tc>
        <w:tc>
          <w:tcPr/>
          <w:p>
            <w:pPr>
              <w:pStyle w:val="Compact"/>
            </w:pPr>
            <w:r>
              <w:t xml:space="preserve">0.5845 [0.570–0.600]</w:t>
            </w:r>
          </w:p>
        </w:tc>
        <w:tc>
          <w:tcPr/>
          <w:p>
            <w:pPr>
              <w:pStyle w:val="Compact"/>
              <w:jc w:val="right"/>
            </w:pPr>
            <w:r>
              <w:t xml:space="preserve">0.1006</w:t>
            </w:r>
          </w:p>
        </w:tc>
        <w:tc>
          <w:tcPr/>
          <w:p>
            <w:pPr>
              <w:pStyle w:val="Compact"/>
              <w:jc w:val="right"/>
            </w:pPr>
            <w:r>
              <w:t xml:space="preserve">—</w:t>
            </w:r>
          </w:p>
        </w:tc>
        <w:tc>
          <w:tcPr/>
          <w:p>
            <w:pPr>
              <w:pStyle w:val="Compact"/>
              <w:jc w:val="right"/>
            </w:pPr>
            <w:r>
              <w:t xml:space="preserve">—</w:t>
            </w:r>
          </w:p>
        </w:tc>
        <w:tc>
          <w:tcPr/>
          <w:p>
            <w:pPr>
              <w:pStyle w:val="Compact"/>
              <w:jc w:val="right"/>
            </w:pPr>
            <w:r>
              <w:t xml:space="preserve">0.0786</w:t>
            </w:r>
          </w:p>
        </w:tc>
        <w:tc>
          <w:tcPr/>
          <w:p>
            <w:pPr>
              <w:pStyle w:val="Compact"/>
              <w:jc w:val="right"/>
            </w:pPr>
            <w:r>
              <w:t xml:space="preserve">0.0785</w:t>
            </w:r>
          </w:p>
        </w:tc>
        <w:tc>
          <w:tcPr/>
          <w:p>
            <w:pPr>
              <w:pStyle w:val="Compact"/>
              <w:jc w:val="right"/>
            </w:pPr>
            <w:r>
              <w:t xml:space="preserve">0.8896</w:t>
            </w:r>
          </w:p>
        </w:tc>
        <w:tc>
          <w:tcPr/>
          <w:p>
            <w:pPr>
              <w:pStyle w:val="Compact"/>
              <w:jc w:val="right"/>
            </w:pPr>
            <w:r>
              <w:t xml:space="preserve">0.0960</w:t>
            </w:r>
          </w:p>
        </w:tc>
        <w:tc>
          <w:tcPr/>
          <w:p>
            <w:pPr>
              <w:pStyle w:val="Compact"/>
              <w:jc w:val="right"/>
            </w:pPr>
            <w:r>
              <w:t xml:space="preserve">0.000131</w:t>
            </w:r>
          </w:p>
        </w:tc>
        <w:tc>
          <w:tcPr/>
          <w:p>
            <w:pPr>
              <w:pStyle w:val="Compact"/>
              <w:jc w:val="right"/>
            </w:pPr>
            <w:r>
              <w:t xml:space="preserve">0.8896</w:t>
            </w:r>
          </w:p>
        </w:tc>
        <w:tc>
          <w:tcPr/>
          <w:p>
            <w:pPr>
              <w:pStyle w:val="Compact"/>
              <w:jc w:val="right"/>
            </w:pPr>
            <w:r>
              <w:t xml:space="preserve">52,596</w:t>
            </w:r>
          </w:p>
        </w:tc>
        <w:tc>
          <w:tcPr/>
          <w:p>
            <w:pPr>
              <w:pStyle w:val="Compact"/>
              <w:jc w:val="right"/>
            </w:pPr>
            <w:r>
              <w:t xml:space="preserve">—</w:t>
            </w:r>
          </w:p>
        </w:tc>
      </w:tr>
    </w:tbl>
    <w:p>
      <w:pPr>
        <w:pStyle w:val="BodyText"/>
      </w:pPr>
      <w:r>
        <w:rPr>
          <w:b/>
          <w:bCs/>
        </w:rPr>
        <w:t xml:space="preserve">Table S33b.</w:t>
      </w:r>
      <w:r>
        <w:t xml:space="preserve"> </w:t>
      </w:r>
      <w:r>
        <w:t xml:space="preserve">Buffer sensitivity for the Boquerón external validation. M2/M3 were retrained with 20, 25 and 30 km buffers; 25 km is the primary specification. The M3−M2 p-value changes with the buffer, so the hybrid advantage is not robust to this choice. FWI/INPE are unchanged because they are not trained on the buffer. Population precision is a fraction.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Buffer (km)</w:t>
            </w:r>
          </w:p>
        </w:tc>
        <w:tc>
          <w:tcPr/>
          <w:p>
            <w:pPr>
              <w:pStyle w:val="Compact"/>
              <w:jc w:val="right"/>
            </w:pPr>
            <w:r>
              <w:t xml:space="preserve">M2 ROC</w:t>
            </w:r>
          </w:p>
        </w:tc>
        <w:tc>
          <w:tcPr/>
          <w:p>
            <w:pPr>
              <w:pStyle w:val="Compact"/>
              <w:jc w:val="right"/>
            </w:pPr>
            <w:r>
              <w:t xml:space="preserve">M3 ROC</w:t>
            </w:r>
          </w:p>
        </w:tc>
        <w:tc>
          <w:tcPr/>
          <w:p>
            <w:pPr>
              <w:pStyle w:val="Compact"/>
              <w:jc w:val="right"/>
            </w:pPr>
            <w:r>
              <w:t xml:space="preserve">M2 PR</w:t>
            </w:r>
          </w:p>
        </w:tc>
        <w:tc>
          <w:tcPr/>
          <w:p>
            <w:pPr>
              <w:pStyle w:val="Compact"/>
              <w:jc w:val="right"/>
            </w:pPr>
            <w:r>
              <w:t xml:space="preserve">M3 PR</w:t>
            </w:r>
          </w:p>
        </w:tc>
        <w:tc>
          <w:tcPr/>
          <w:p>
            <w:pPr>
              <w:pStyle w:val="Compact"/>
              <w:jc w:val="right"/>
            </w:pPr>
            <w:r>
              <w:t xml:space="preserve">ΔROC M3−M2</w:t>
            </w:r>
          </w:p>
        </w:tc>
        <w:tc>
          <w:tcPr/>
          <w:p>
            <w:pPr>
              <w:pStyle w:val="Compact"/>
              <w:jc w:val="right"/>
            </w:pPr>
            <w:r>
              <w:t xml:space="preserve">p</w:t>
            </w:r>
          </w:p>
        </w:tc>
        <w:tc>
          <w:tcPr/>
          <w:p>
            <w:pPr>
              <w:pStyle w:val="Compact"/>
              <w:jc w:val="right"/>
            </w:pPr>
            <w:r>
              <w:t xml:space="preserve">M2 pop. precision</w:t>
            </w:r>
          </w:p>
        </w:tc>
        <w:tc>
          <w:tcPr/>
          <w:p>
            <w:pPr>
              <w:pStyle w:val="Compact"/>
              <w:jc w:val="right"/>
            </w:pPr>
            <w:r>
              <w:t xml:space="preserve">M3 pop. precision</w:t>
            </w:r>
          </w:p>
        </w:tc>
      </w:tr>
      <w:tr>
        <w:tc>
          <w:tcPr/>
          <w:p>
            <w:pPr>
              <w:pStyle w:val="Compact"/>
              <w:jc w:val="right"/>
            </w:pPr>
            <w:r>
              <w:t xml:space="preserve">20</w:t>
            </w:r>
          </w:p>
        </w:tc>
        <w:tc>
          <w:tcPr/>
          <w:p>
            <w:pPr>
              <w:pStyle w:val="Compact"/>
              <w:jc w:val="right"/>
            </w:pPr>
            <w:r>
              <w:t xml:space="preserve">0.8106</w:t>
            </w:r>
          </w:p>
        </w:tc>
        <w:tc>
          <w:tcPr/>
          <w:p>
            <w:pPr>
              <w:pStyle w:val="Compact"/>
              <w:jc w:val="right"/>
            </w:pPr>
            <w:r>
              <w:t xml:space="preserve">0.8145</w:t>
            </w:r>
          </w:p>
        </w:tc>
        <w:tc>
          <w:tcPr/>
          <w:p>
            <w:pPr>
              <w:pStyle w:val="Compact"/>
              <w:jc w:val="right"/>
            </w:pPr>
            <w:r>
              <w:t xml:space="preserve">0.2448</w:t>
            </w:r>
          </w:p>
        </w:tc>
        <w:tc>
          <w:tcPr/>
          <w:p>
            <w:pPr>
              <w:pStyle w:val="Compact"/>
              <w:jc w:val="right"/>
            </w:pPr>
            <w:r>
              <w:t xml:space="preserve">0.2557</w:t>
            </w:r>
          </w:p>
        </w:tc>
        <w:tc>
          <w:tcPr/>
          <w:p>
            <w:pPr>
              <w:pStyle w:val="Compact"/>
              <w:jc w:val="right"/>
            </w:pPr>
            <w:r>
              <w:t xml:space="preserve">+0.0039</w:t>
            </w:r>
          </w:p>
        </w:tc>
        <w:tc>
          <w:tcPr/>
          <w:p>
            <w:pPr>
              <w:pStyle w:val="Compact"/>
              <w:jc w:val="right"/>
            </w:pPr>
            <w:r>
              <w:t xml:space="preserve">0.010</w:t>
            </w:r>
          </w:p>
        </w:tc>
        <w:tc>
          <w:tcPr/>
          <w:p>
            <w:pPr>
              <w:pStyle w:val="Compact"/>
              <w:jc w:val="right"/>
            </w:pPr>
            <w:r>
              <w:t xml:space="preserve">0.000865</w:t>
            </w:r>
          </w:p>
        </w:tc>
        <w:tc>
          <w:tcPr/>
          <w:p>
            <w:pPr>
              <w:pStyle w:val="Compact"/>
              <w:jc w:val="right"/>
            </w:pPr>
            <w:r>
              <w:t xml:space="preserve">0.000757</w:t>
            </w:r>
          </w:p>
        </w:tc>
      </w:tr>
      <w:tr>
        <w:tc>
          <w:tcPr/>
          <w:p>
            <w:pPr>
              <w:pStyle w:val="Compact"/>
              <w:jc w:val="right"/>
            </w:pPr>
            <w:r>
              <w:t xml:space="preserve">25</w:t>
            </w:r>
          </w:p>
        </w:tc>
        <w:tc>
          <w:tcPr/>
          <w:p>
            <w:pPr>
              <w:pStyle w:val="Compact"/>
              <w:jc w:val="right"/>
            </w:pPr>
            <w:r>
              <w:t xml:space="preserve">0.8104</w:t>
            </w:r>
          </w:p>
        </w:tc>
        <w:tc>
          <w:tcPr/>
          <w:p>
            <w:pPr>
              <w:pStyle w:val="Compact"/>
              <w:jc w:val="right"/>
            </w:pPr>
            <w:r>
              <w:t xml:space="preserve">0.8120</w:t>
            </w:r>
          </w:p>
        </w:tc>
        <w:tc>
          <w:tcPr/>
          <w:p>
            <w:pPr>
              <w:pStyle w:val="Compact"/>
              <w:jc w:val="right"/>
            </w:pPr>
            <w:r>
              <w:t xml:space="preserve">0.2440</w:t>
            </w:r>
          </w:p>
        </w:tc>
        <w:tc>
          <w:tcPr/>
          <w:p>
            <w:pPr>
              <w:pStyle w:val="Compact"/>
              <w:jc w:val="right"/>
            </w:pPr>
            <w:r>
              <w:t xml:space="preserve">0.2505</w:t>
            </w:r>
          </w:p>
        </w:tc>
        <w:tc>
          <w:tcPr/>
          <w:p>
            <w:pPr>
              <w:pStyle w:val="Compact"/>
              <w:jc w:val="right"/>
            </w:pPr>
            <w:r>
              <w:t xml:space="preserve">+0.0016</w:t>
            </w:r>
          </w:p>
        </w:tc>
        <w:tc>
          <w:tcPr/>
          <w:p>
            <w:pPr>
              <w:pStyle w:val="Compact"/>
              <w:jc w:val="right"/>
            </w:pPr>
            <w:r>
              <w:t xml:space="preserve">0.254</w:t>
            </w:r>
          </w:p>
        </w:tc>
        <w:tc>
          <w:tcPr/>
          <w:p>
            <w:pPr>
              <w:pStyle w:val="Compact"/>
              <w:jc w:val="right"/>
            </w:pPr>
            <w:r>
              <w:t xml:space="preserve">0.000891</w:t>
            </w:r>
          </w:p>
        </w:tc>
        <w:tc>
          <w:tcPr/>
          <w:p>
            <w:pPr>
              <w:pStyle w:val="Compact"/>
              <w:jc w:val="right"/>
            </w:pPr>
            <w:r>
              <w:t xml:space="preserve">0.000678</w:t>
            </w:r>
          </w:p>
        </w:tc>
      </w:tr>
      <w:tr>
        <w:tc>
          <w:tcPr/>
          <w:p>
            <w:pPr>
              <w:pStyle w:val="Compact"/>
              <w:jc w:val="right"/>
            </w:pPr>
            <w:r>
              <w:t xml:space="preserve">30</w:t>
            </w:r>
          </w:p>
        </w:tc>
        <w:tc>
          <w:tcPr/>
          <w:p>
            <w:pPr>
              <w:pStyle w:val="Compact"/>
              <w:jc w:val="right"/>
            </w:pPr>
            <w:r>
              <w:t xml:space="preserve">0.8079</w:t>
            </w:r>
          </w:p>
        </w:tc>
        <w:tc>
          <w:tcPr/>
          <w:p>
            <w:pPr>
              <w:pStyle w:val="Compact"/>
              <w:jc w:val="right"/>
            </w:pPr>
            <w:r>
              <w:t xml:space="preserve">0.8099</w:t>
            </w:r>
          </w:p>
        </w:tc>
        <w:tc>
          <w:tcPr/>
          <w:p>
            <w:pPr>
              <w:pStyle w:val="Compact"/>
              <w:jc w:val="right"/>
            </w:pPr>
            <w:r>
              <w:t xml:space="preserve">0.2414</w:t>
            </w:r>
          </w:p>
        </w:tc>
        <w:tc>
          <w:tcPr/>
          <w:p>
            <w:pPr>
              <w:pStyle w:val="Compact"/>
              <w:jc w:val="right"/>
            </w:pPr>
            <w:r>
              <w:t xml:space="preserve">0.2501</w:t>
            </w:r>
          </w:p>
        </w:tc>
        <w:tc>
          <w:tcPr/>
          <w:p>
            <w:pPr>
              <w:pStyle w:val="Compact"/>
              <w:jc w:val="right"/>
            </w:pPr>
            <w:r>
              <w:t xml:space="preserve">+0.0020</w:t>
            </w:r>
          </w:p>
        </w:tc>
        <w:tc>
          <w:tcPr/>
          <w:p>
            <w:pPr>
              <w:pStyle w:val="Compact"/>
              <w:jc w:val="right"/>
            </w:pPr>
            <w:r>
              <w:t xml:space="preserve">0.206</w:t>
            </w:r>
          </w:p>
        </w:tc>
        <w:tc>
          <w:tcPr/>
          <w:p>
            <w:pPr>
              <w:pStyle w:val="Compact"/>
              <w:jc w:val="right"/>
            </w:pPr>
            <w:r>
              <w:t xml:space="preserve">0.000836</w:t>
            </w:r>
          </w:p>
        </w:tc>
        <w:tc>
          <w:tcPr/>
          <w:p>
            <w:pPr>
              <w:pStyle w:val="Compact"/>
              <w:jc w:val="right"/>
            </w:pPr>
            <w:r>
              <w:t xml:space="preserve">0.000702</w:t>
            </w:r>
          </w:p>
        </w:tc>
      </w:tr>
    </w:tbl>
    <w:p>
      <w:pPr>
        <w:pStyle w:val="CaptionedFigure"/>
      </w:pPr>
      <w:r>
        <w:drawing>
          <wp:inline>
            <wp:extent cx="7818120" cy="3227277"/>
            <wp:effectExtent b="0" l="0" r="0" t="0"/>
            <wp:docPr descr="Figure S9. External validation in Boquerón: ROC and precision–recall curves for M2, M3, FWI and INPE on 2024–2025." title="" id="60" name="Picture"/>
            <a:graphic>
              <a:graphicData uri="http://schemas.openxmlformats.org/drawingml/2006/picture">
                <pic:pic>
                  <pic:nvPicPr>
                    <pic:cNvPr descr="../../entregables/figuras/supp_fig09_external_boqueron.png" id="61" name="Picture"/>
                    <pic:cNvPicPr>
                      <a:picLocks noChangeArrowheads="1" noChangeAspect="1"/>
                    </pic:cNvPicPr>
                  </pic:nvPicPr>
                  <pic:blipFill>
                    <a:blip r:embed="rId59"/>
                    <a:stretch>
                      <a:fillRect/>
                    </a:stretch>
                  </pic:blipFill>
                  <pic:spPr bwMode="auto">
                    <a:xfrm>
                      <a:off x="0" y="0"/>
                      <a:ext cx="7818120" cy="3227277"/>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External validation in Boquerón: ROC and precision–recall curves for M2, M3, FWI and INPE on 2024–2025.</w:t>
      </w:r>
    </w:p>
    <w:bookmarkEnd w:id="62"/>
    <w:bookmarkStart w:id="63" w:name="X63ee6689f7a9a4a2029425368c9cc7c18c505b0"/>
    <w:p>
      <w:pPr>
        <w:pStyle w:val="Heading2"/>
      </w:pPr>
      <w:r>
        <w:t xml:space="preserve">S5.10 External spatial validation in Boquerón</w:t>
      </w:r>
    </w:p>
    <w:p>
      <w:pPr>
        <w:pStyle w:val="FirstParagraph"/>
      </w:pPr>
      <w:r>
        <w:t xml:space="preserve">The leave-one-department-out pilot excluded Boquerón and a 25-km buffer from training and validation. Causal historical priors were recomputed with</w:t>
      </w:r>
      <w:r>
        <w:t xml:space="preserve"> </w:t>
      </w:r>
      <w:r>
        <w:rPr>
          <w:rStyle w:val="VerbatimChar"/>
        </w:rPr>
        <w:t xml:space="preserve">excluir_cell_ids</w:t>
      </w:r>
      <w:r>
        <w:t xml:space="preserve"> </w:t>
      </w:r>
      <w:r>
        <w:t xml:space="preserve">for the excluded cells. M2 and M3 were retrained with the operational capacity; calibration and the F0.5 cutoff used 2023 rows outside the excluded area. FWI and INPE cutoffs were selected on the same 2023 rows. Evaluation used the 2024–2025 Boquerón rows (66,845 sampled rows; 5,038 positives). Metrics are reported both case-control and population-weighted; the latter use department-level D2 counts reconstructed from the full candidate archive because</w:t>
      </w:r>
      <w:r>
        <w:t xml:space="preserve"> </w:t>
      </w:r>
      <w:r>
        <w:rPr>
          <w:rStyle w:val="VerbatimChar"/>
        </w:rPr>
        <w:t xml:space="preserve">conteos_poblacionales_d2.parquet</w:t>
      </w:r>
      <w:r>
        <w:t xml:space="preserve"> </w:t>
      </w:r>
      <w:r>
        <w:t xml:space="preserve">stores denominators by region. The buffer sensitivity uses 20, 25 and 30 km (Table S33b). This is a spatial external validation within Paraguay, not a cross-country validation.</w:t>
      </w:r>
    </w:p>
    <w:bookmarkEnd w:id="63"/>
    <w:bookmarkStart w:id="68" w:name="Xbe6ec37e99256fb054b12d002fbc1dfadba7104"/>
    <w:p>
      <w:pPr>
        <w:pStyle w:val="Heading2"/>
      </w:pPr>
      <w:r>
        <w:t xml:space="preserve">S5.11 Cross-country validation in Formosa (G0)</w:t>
      </w:r>
    </w:p>
    <w:p>
      <w:pPr>
        <w:pStyle w:val="FirstParagraph"/>
      </w:pPr>
      <w:r>
        <w:t xml:space="preserve">G0-Formosa was designed as a pre-registered, conditional cross-country test of the frozen M2/M3-Chaco system. The domain contains 75,236 cells of 1 km² (75,229 km²). The case-control test has 68,959 rows and 6,269 positive D2 ignition cell-days (2024: 3,429; 2025: 2,840); the 1:10 sampling matches the Paraguay design. M2/M3 boosters were frozen for G0-Z, and G0-C recalibrated Platt scaling and the F0.5 cutoff on Formosa 2023 only. G0-R retrained both models on Paraguay plus Formosa 2018–2022 and evaluated 2024–2025.</w:t>
      </w:r>
    </w:p>
    <w:p>
      <w:pPr>
        <w:pStyle w:val="BodyText"/>
      </w:pPr>
      <w:r>
        <w:t xml:space="preserve">The primary soil/land-cover harmonization (H-A) maps MapBiomas Argentina classes 3/4/6 to</w:t>
      </w:r>
      <w:r>
        <w:t xml:space="preserve"> </w:t>
      </w:r>
      <w:r>
        <w:rPr>
          <w:rStyle w:val="VerbatimChar"/>
        </w:rPr>
        <w:t xml:space="preserve">pct_bosque_seco</w:t>
      </w:r>
      <w:r>
        <w:t xml:space="preserve">, 9 to plantation, 11/73 to wetland, 10/12/63/66/77 to savanna, 15 to pasture, 18/19/36 to agriculture and 22/24/25/26/33/34 to non-combustible. Class 6 (flooded forest) is 22.3 % of the area and 42.9 % of VIIRS detections. H-B (class 6 → wetland) and H-C (mask cells with ≥50 % class 6) are sensitivities. The crosswalk is archived in</w:t>
      </w:r>
      <w:r>
        <w:t xml:space="preserve"> </w:t>
      </w:r>
      <w:r>
        <w:rPr>
          <w:rStyle w:val="VerbatimChar"/>
        </w:rPr>
        <w:t xml:space="preserve">auditoria/G0/crosswalk_mapbiomas_argentina.csv</w:t>
      </w:r>
      <w:r>
        <w:t xml:space="preserve">.</w:t>
      </w:r>
    </w:p>
    <w:p>
      <w:pPr>
        <w:pStyle w:val="BodyText"/>
      </w:pPr>
      <w:r>
        <w:t xml:space="preserve">In 2024, M2/M3 reached ROC-AUC 0.7133/0.7245 and PR-AUC 0.1839/0.1943; the paired M3−M2 ΔROC was +0.0112 (95 % CI +0.0065–+0.0155). In 2025, M2/M3 reached 0.7050/0.7112 and 0.1735/0.1716, with ΔROC +0.0062 (95 % CI −0.0001–+0.0129). G0-C reduced ECE to 0.0078–0.0153, but the local cutoff lowered M3’s F0.5 in 2025. Neither arm reached the pre-registered transport threshold of ROC-AUC &gt; 0.75. G0-R improved M3 ROC-AUC only to 0.7275/0.7150 and did not remove the 2025 uncertainty. H-B was essentially unchanged (M3 0.7256/0.7127); H-C raised M3 to 0.7616/0.7357 but removed 22 % of the area, 43 % of detections and 32.5 % of positive cell-days. These results therefore indicate limited, conditional transport, not a successful cross-country replication or a demonstration that M3 is superior to M2.</w:t>
      </w:r>
    </w:p>
    <w:p>
      <w:pPr>
        <w:pStyle w:val="BodyText"/>
      </w:pPr>
      <w:r>
        <w:t xml:space="preserve">Two limitations bound the run. First, 19 of 44 M3 features exceed PSI &gt; 0.2 or KS &gt; 0.1 between Formosa and Paraguay-Chaco; the largest shifts are pasture fraction (PSI 1.18), pasture-burning pressure (1.03), forest–agriculture edge (0.51), ecotone index (0.47), minimum temperature (0.25) and 25-km historical density (0.24). Formosa has almost no pasture (median 0 %), whereas the Paraguay-Chaco training distribution is pasture-rich. Second, Open-Meteo was quota-limited during the run, so the climate used CDS precipitation and Hargreaves ET0 rather than the Open-Meteo correction used in Paraguay; this source difference is a sensitivity still to be repeated. An aggregate cross-check against MapBiomas Chaco C5 2023 showed a maximum class-share difference of 5.2 pp (class 6: +4.7 pp), but a pixel-level kappa was not possible because C5 is only available as a Google Earth Engine asset in this environment. A 60-point visual pilot agreed in 53/60 cases (88.3 %); the full 300-point audit remains pending. These results should therefore be read as an exploratory stress test, not as a certified external validation.</w:t>
      </w:r>
    </w:p>
    <w:p>
      <w:pPr>
        <w:pStyle w:val="BodyText"/>
      </w:pPr>
      <w:r>
        <w:rPr>
          <w:b/>
          <w:bCs/>
        </w:rPr>
        <w:t xml:space="preserve">Table S34.</w:t>
      </w:r>
      <w:r>
        <w:t xml:space="preserve"> </w:t>
      </w:r>
      <w:r>
        <w:t xml:space="preserve">G0-C external validation in Formosa (case-control, 1:10). M2/M3 are frozen Chaco boosters with Platt recalibration and cutoff selected on Formosa 2023. ΔROC is M3−M2 with a paired date-block bootstrap (1,000 replicates). Population precision is not reported because no approved Formosa population denominator was available.</w:t>
      </w:r>
    </w:p>
    <w:tbl>
      <w:tblPr>
        <w:tblStyle w:val="Table"/>
        <w:tblW w:type="pct" w:w="5000"/>
        <w:tblLayout w:type="fixed"/>
        <w:tblLook w:firstRow="1" w:lastRow="0" w:firstColumn="0" w:lastColumn="0" w:noHBand="0" w:noVBand="0" w:val="0020"/>
      </w:tblPr>
      <w:tblGrid>
        <w:gridCol w:w="565"/>
        <w:gridCol w:w="565"/>
        <w:gridCol w:w="754"/>
        <w:gridCol w:w="754"/>
        <w:gridCol w:w="754"/>
        <w:gridCol w:w="754"/>
        <w:gridCol w:w="754"/>
        <w:gridCol w:w="754"/>
        <w:gridCol w:w="754"/>
        <w:gridCol w:w="754"/>
        <w:gridCol w:w="754"/>
      </w:tblGrid>
      <w:tr>
        <w:trPr>
          <w:tblHeader w:val="on"/>
        </w:trPr>
        <w:tc>
          <w:tcPr/>
          <w:p>
            <w:pPr>
              <w:pStyle w:val="Compact"/>
            </w:pPr>
            <w:r>
              <w:t xml:space="preserve">Year</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ΔROC M3−M2 (95 % CI; p)</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0.0788</w:t>
            </w:r>
          </w:p>
        </w:tc>
        <w:tc>
          <w:tcPr/>
          <w:p>
            <w:pPr>
              <w:pStyle w:val="Compact"/>
              <w:jc w:val="right"/>
            </w:pPr>
            <w:r>
              <w:t xml:space="preserve">0.0078</w:t>
            </w:r>
          </w:p>
        </w:tc>
        <w:tc>
          <w:tcPr/>
          <w:p>
            <w:pPr>
              <w:pStyle w:val="Compact"/>
              <w:jc w:val="right"/>
            </w:pPr>
            <w:r>
              <w:t xml:space="preserve">0.1869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0.0783</w:t>
            </w:r>
          </w:p>
        </w:tc>
        <w:tc>
          <w:tcPr/>
          <w:p>
            <w:pPr>
              <w:pStyle w:val="Compact"/>
              <w:jc w:val="right"/>
            </w:pPr>
            <w:r>
              <w:t xml:space="preserve">0.0106</w:t>
            </w:r>
          </w:p>
        </w:tc>
        <w:tc>
          <w:tcPr/>
          <w:p>
            <w:pPr>
              <w:pStyle w:val="Compact"/>
              <w:jc w:val="right"/>
            </w:pPr>
            <w:r>
              <w:t xml:space="preserve">0.2046</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+0.0112 (+0.0065–+0.0155; p&lt;0.001)</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0.0793</w:t>
            </w:r>
          </w:p>
        </w:tc>
        <w:tc>
          <w:tcPr/>
          <w:p>
            <w:pPr>
              <w:pStyle w:val="Compact"/>
              <w:jc w:val="right"/>
            </w:pPr>
            <w:r>
              <w:t xml:space="preserve">0.0129</w:t>
            </w:r>
          </w:p>
        </w:tc>
        <w:tc>
          <w:tcPr/>
          <w:p>
            <w:pPr>
              <w:pStyle w:val="Compact"/>
              <w:jc w:val="right"/>
            </w:pPr>
            <w:r>
              <w:t xml:space="preserve">0.1869</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0.0794</w:t>
            </w:r>
          </w:p>
        </w:tc>
        <w:tc>
          <w:tcPr/>
          <w:p>
            <w:pPr>
              <w:pStyle w:val="Compact"/>
              <w:jc w:val="right"/>
            </w:pPr>
            <w:r>
              <w:t xml:space="preserve">0.0153</w:t>
            </w:r>
          </w:p>
        </w:tc>
        <w:tc>
          <w:tcPr/>
          <w:p>
            <w:pPr>
              <w:pStyle w:val="Compact"/>
              <w:jc w:val="right"/>
            </w:pPr>
            <w:r>
              <w:t xml:space="preserve">0.2046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+0.0062 (-0.0001–+0.0129; p=0.052)</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0.0790</w:t>
            </w:r>
          </w:p>
        </w:tc>
        <w:tc>
          <w:tcPr/>
          <w:p>
            <w:pPr>
              <w:pStyle w:val="Compact"/>
              <w:jc w:val="right"/>
            </w:pPr>
            <w:r>
              <w:t xml:space="preserve">0.0100</w:t>
            </w:r>
          </w:p>
        </w:tc>
        <w:tc>
          <w:tcPr/>
          <w:p>
            <w:pPr>
              <w:pStyle w:val="Compact"/>
              <w:jc w:val="right"/>
            </w:pPr>
            <w:r>
              <w:t xml:space="preserve">0.1869</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0.0788</w:t>
            </w:r>
          </w:p>
        </w:tc>
        <w:tc>
          <w:tcPr/>
          <w:p>
            <w:pPr>
              <w:pStyle w:val="Compact"/>
              <w:jc w:val="right"/>
            </w:pPr>
            <w:r>
              <w:t xml:space="preserve">0.0125</w:t>
            </w:r>
          </w:p>
        </w:tc>
        <w:tc>
          <w:tcPr/>
          <w:p>
            <w:pPr>
              <w:pStyle w:val="Compact"/>
              <w:jc w:val="right"/>
            </w:pPr>
            <w:r>
              <w:t xml:space="preserve">0.2046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+0.0090 (+0.0050–+0.0128; p&lt;0.001)</w:t>
            </w:r>
          </w:p>
        </w:tc>
      </w:tr>
    </w:tbl>
    <w:p>
      <w:pPr>
        <w:pStyle w:val="BodyText"/>
      </w:pPr>
      <w:r>
        <w:rPr>
          <w:b/>
          <w:bCs/>
        </w:rPr>
        <w:t xml:space="preserve">Table S34b.</w:t>
      </w:r>
      <w:r>
        <w:t xml:space="preserve"> </w:t>
      </w:r>
      <w:r>
        <w:t xml:space="preserve">G0 arms and mandatory sensitivities. ROC-AUC is shown as M2/M3. H-C is not comparable to the primary result because it removes 22 % of the area, 43 % of detections and 32.5 % of positive cell-days. Buffer sensitivity varies the t−1 fire buffer used by the D2 sampling plan.</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Arm / variant</w:t>
            </w:r>
          </w:p>
        </w:tc>
        <w:tc>
          <w:tcPr/>
          <w:p>
            <w:pPr>
              <w:pStyle w:val="Compact"/>
              <w:jc w:val="right"/>
            </w:pPr>
            <w:r>
              <w:t xml:space="preserve">2024 M2 / M3 ROC</w:t>
            </w:r>
          </w:p>
        </w:tc>
        <w:tc>
          <w:tcPr/>
          <w:p>
            <w:pPr>
              <w:pStyle w:val="Compact"/>
              <w:jc w:val="right"/>
            </w:pPr>
            <w:r>
              <w:t xml:space="preserve">2025 M2 / M3 ROC</w:t>
            </w:r>
          </w:p>
        </w:tc>
        <w:tc>
          <w:tcPr/>
          <w:p>
            <w:pPr>
              <w:pStyle w:val="Compact"/>
            </w:pPr>
            <w:r>
              <w:t xml:space="preserve">Note</w:t>
            </w:r>
          </w:p>
        </w:tc>
      </w:tr>
      <w:tr>
        <w:tc>
          <w:tcPr/>
          <w:p>
            <w:pPr>
              <w:pStyle w:val="Compact"/>
            </w:pPr>
            <w:r>
              <w:t xml:space="preserve">G0-Z</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frozen</w:t>
            </w:r>
          </w:p>
        </w:tc>
      </w:tr>
      <w:tr>
        <w:tc>
          <w:tcPr/>
          <w:p>
            <w:pPr>
              <w:pStyle w:val="Compact"/>
            </w:pPr>
            <w:r>
              <w:t xml:space="preserve">G0-C</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local recalibration</w:t>
            </w:r>
          </w:p>
        </w:tc>
      </w:tr>
      <w:tr>
        <w:tc>
          <w:tcPr/>
          <w:p>
            <w:pPr>
              <w:pStyle w:val="Compact"/>
            </w:pPr>
            <w:r>
              <w:t xml:space="preserve">G0-R</w:t>
            </w:r>
          </w:p>
        </w:tc>
        <w:tc>
          <w:tcPr/>
          <w:p>
            <w:pPr>
              <w:pStyle w:val="Compact"/>
              <w:jc w:val="right"/>
            </w:pPr>
            <w:r>
              <w:t xml:space="preserve">0.7178 / 0.7275</w:t>
            </w:r>
          </w:p>
        </w:tc>
        <w:tc>
          <w:tcPr/>
          <w:p>
            <w:pPr>
              <w:pStyle w:val="Compact"/>
              <w:jc w:val="right"/>
            </w:pPr>
            <w:r>
              <w:t xml:space="preserve">0.7144 / 0.7150</w:t>
            </w:r>
          </w:p>
        </w:tc>
        <w:tc>
          <w:tcPr/>
          <w:p>
            <w:pPr>
              <w:pStyle w:val="Compact"/>
            </w:pPr>
            <w:r>
              <w:t xml:space="preserve">PY+Formosa retrain</w:t>
            </w:r>
          </w:p>
        </w:tc>
      </w:tr>
      <w:tr>
        <w:tc>
          <w:tcPr/>
          <w:p>
            <w:pPr>
              <w:pStyle w:val="Compact"/>
            </w:pPr>
            <w:r>
              <w:t xml:space="preserve">H-B (class 6 → wetland)</w:t>
            </w:r>
          </w:p>
        </w:tc>
        <w:tc>
          <w:tcPr/>
          <w:p>
            <w:pPr>
              <w:pStyle w:val="Compact"/>
              <w:jc w:val="right"/>
            </w:pPr>
            <w:r>
              <w:t xml:space="preserve">0.7170 / 0.7256</w:t>
            </w:r>
          </w:p>
        </w:tc>
        <w:tc>
          <w:tcPr/>
          <w:p>
            <w:pPr>
              <w:pStyle w:val="Compact"/>
              <w:jc w:val="right"/>
            </w:pPr>
            <w:r>
              <w:t xml:space="preserve">0.7066 / 0.7127</w:t>
            </w:r>
          </w:p>
        </w:tc>
        <w:tc>
          <w:tcPr/>
          <w:p>
            <w:pPr>
              <w:pStyle w:val="Compact"/>
            </w:pPr>
            <w:r>
              <w:t xml:space="preserve">sensitivity</w:t>
            </w:r>
          </w:p>
        </w:tc>
      </w:tr>
      <w:tr>
        <w:tc>
          <w:tcPr/>
          <w:p>
            <w:pPr>
              <w:pStyle w:val="Compact"/>
            </w:pPr>
            <w:r>
              <w:t xml:space="preserve">H-C (mask class 6 ≥50 %)</w:t>
            </w:r>
          </w:p>
        </w:tc>
        <w:tc>
          <w:tcPr/>
          <w:p>
            <w:pPr>
              <w:pStyle w:val="Compact"/>
              <w:jc w:val="right"/>
            </w:pPr>
            <w:r>
              <w:t xml:space="preserve">0.7508 / 0.7616</w:t>
            </w:r>
          </w:p>
        </w:tc>
        <w:tc>
          <w:tcPr/>
          <w:p>
            <w:pPr>
              <w:pStyle w:val="Compact"/>
              <w:jc w:val="right"/>
            </w:pPr>
            <w:r>
              <w:t xml:space="preserve">0.7324 / 0.7357</w:t>
            </w:r>
          </w:p>
        </w:tc>
        <w:tc>
          <w:tcPr/>
          <w:p>
            <w:pPr>
              <w:pStyle w:val="Compact"/>
            </w:pPr>
            <w:r>
              <w:t xml:space="preserve">removes 22 % area, 43 % detections, 33 % positives</w:t>
            </w:r>
          </w:p>
        </w:tc>
      </w:tr>
      <w:tr>
        <w:tc>
          <w:tcPr/>
          <w:p>
            <w:pPr>
              <w:pStyle w:val="Compact"/>
            </w:pPr>
            <w:r>
              <w:t xml:space="preserve">t−1 buffer 20 km</w:t>
            </w:r>
          </w:p>
        </w:tc>
        <w:tc>
          <w:tcPr/>
          <w:p>
            <w:pPr>
              <w:pStyle w:val="Compact"/>
              <w:jc w:val="right"/>
            </w:pPr>
            <w:r>
              <w:t xml:space="preserve">0.7058 / 0.7173</w:t>
            </w:r>
          </w:p>
        </w:tc>
        <w:tc>
          <w:tcPr/>
          <w:p>
            <w:pPr>
              <w:pStyle w:val="Compact"/>
              <w:jc w:val="right"/>
            </w:pPr>
            <w:r>
              <w:t xml:space="preserve">0.6967 / 0.7041</w:t>
            </w:r>
          </w:p>
        </w:tc>
        <w:tc>
          <w:tcPr/>
          <w:p>
            <w:pPr>
              <w:pStyle w:val="Compact"/>
            </w:pPr>
            <w:r>
              <w:t xml:space="preserve">G0-C</w:t>
            </w:r>
          </w:p>
        </w:tc>
      </w:tr>
      <w:tr>
        <w:tc>
          <w:tcPr/>
          <w:p>
            <w:pPr>
              <w:pStyle w:val="Compact"/>
            </w:pPr>
            <w:r>
              <w:t xml:space="preserve">t−1 buffer 30 km</w:t>
            </w:r>
          </w:p>
        </w:tc>
        <w:tc>
          <w:tcPr/>
          <w:p>
            <w:pPr>
              <w:pStyle w:val="Compact"/>
              <w:jc w:val="right"/>
            </w:pPr>
            <w:r>
              <w:t xml:space="preserve">0.7148 / 0.7251</w:t>
            </w:r>
          </w:p>
        </w:tc>
        <w:tc>
          <w:tcPr/>
          <w:p>
            <w:pPr>
              <w:pStyle w:val="Compact"/>
              <w:jc w:val="right"/>
            </w:pPr>
            <w:r>
              <w:t xml:space="preserve">0.7014 / 0.7111</w:t>
            </w:r>
          </w:p>
        </w:tc>
        <w:tc>
          <w:tcPr/>
          <w:p>
            <w:pPr>
              <w:pStyle w:val="Compact"/>
            </w:pPr>
            <w:r>
              <w:t xml:space="preserve">G0-C</w:t>
            </w:r>
          </w:p>
        </w:tc>
      </w:tr>
    </w:tbl>
    <w:p>
      <w:pPr>
        <w:pStyle w:val="BodyText"/>
      </w:pPr>
      <w:r>
        <w:rPr>
          <w:b/>
          <w:bCs/>
        </w:rPr>
        <w:t xml:space="preserve">Table S34c.</w:t>
      </w:r>
      <w:r>
        <w:t xml:space="preserve"> </w:t>
      </w:r>
      <w:r>
        <w:t xml:space="preserve">Classic benchmarks in Formosa (case-control, 1:10). The Canadian FWI and the INPE Fire Risk were computed from the same Formosa ERA5-Land climate and H-A fuel fractions. Their cutoffs were selected on Formosa 2023 by maximizing F0.5 and frozen for 2024–2025, exactly as for G0-C. They are indices, not calibrated probabilities, so Brier and ECE are not reported. The M2/M3 rows are G0-C.</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Year</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Cutoff</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0.1869</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0.1869</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0.1869</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0.2046</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0.2046</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0.2046</w:t>
            </w:r>
          </w:p>
        </w:tc>
      </w:tr>
      <w:tr>
        <w:tc>
          <w:tcPr/>
          <w:p>
            <w:pPr>
              <w:pStyle w:val="Compact"/>
            </w:pPr>
            <w:r>
              <w:t xml:space="preserve">2024</w:t>
            </w:r>
          </w:p>
        </w:tc>
        <w:tc>
          <w:tcPr/>
          <w:p>
            <w:pPr>
              <w:pStyle w:val="Compact"/>
            </w:pPr>
            <w:r>
              <w:t xml:space="preserve">FWI</w:t>
            </w:r>
          </w:p>
        </w:tc>
        <w:tc>
          <w:tcPr/>
          <w:p>
            <w:pPr>
              <w:pStyle w:val="Compact"/>
              <w:jc w:val="right"/>
            </w:pPr>
            <w:r>
              <w:t xml:space="preserve">0.4984</w:t>
            </w:r>
          </w:p>
        </w:tc>
        <w:tc>
          <w:tcPr/>
          <w:p>
            <w:pPr>
              <w:pStyle w:val="Compact"/>
              <w:jc w:val="right"/>
            </w:pPr>
            <w:r>
              <w:t xml:space="preserve">0.0926</w:t>
            </w:r>
          </w:p>
        </w:tc>
        <w:tc>
          <w:tcPr/>
          <w:p>
            <w:pPr>
              <w:pStyle w:val="Compact"/>
              <w:jc w:val="right"/>
            </w:pPr>
            <w:r>
              <w:t xml:space="preserve">0.0988</w:t>
            </w:r>
          </w:p>
        </w:tc>
        <w:tc>
          <w:tcPr/>
          <w:p>
            <w:pPr>
              <w:pStyle w:val="Compact"/>
              <w:jc w:val="right"/>
            </w:pPr>
            <w:r>
              <w:t xml:space="preserve">0.1519</w:t>
            </w:r>
          </w:p>
        </w:tc>
        <w:tc>
          <w:tcPr/>
          <w:p>
            <w:pPr>
              <w:pStyle w:val="Compact"/>
              <w:jc w:val="right"/>
            </w:pPr>
            <w:r>
              <w:t xml:space="preserve">0.1062</w:t>
            </w:r>
          </w:p>
        </w:tc>
        <w:tc>
          <w:tcPr/>
          <w:p>
            <w:pPr>
              <w:pStyle w:val="Compact"/>
              <w:jc w:val="right"/>
            </w:pPr>
            <w:r>
              <w:t xml:space="preserve">6.5303</w:t>
            </w:r>
          </w:p>
        </w:tc>
      </w:tr>
      <w:tr>
        <w:tc>
          <w:tcPr/>
          <w:p>
            <w:pPr>
              <w:pStyle w:val="Compact"/>
            </w:pPr>
            <w:r>
              <w:t xml:space="preserve">2025</w:t>
            </w:r>
          </w:p>
        </w:tc>
        <w:tc>
          <w:tcPr/>
          <w:p>
            <w:pPr>
              <w:pStyle w:val="Compact"/>
            </w:pPr>
            <w:r>
              <w:t xml:space="preserve">FWI</w:t>
            </w:r>
          </w:p>
        </w:tc>
        <w:tc>
          <w:tcPr/>
          <w:p>
            <w:pPr>
              <w:pStyle w:val="Compact"/>
              <w:jc w:val="right"/>
            </w:pPr>
            <w:r>
              <w:t xml:space="preserve">0.5197</w:t>
            </w:r>
          </w:p>
        </w:tc>
        <w:tc>
          <w:tcPr/>
          <w:p>
            <w:pPr>
              <w:pStyle w:val="Compact"/>
              <w:jc w:val="right"/>
            </w:pPr>
            <w:r>
              <w:t xml:space="preserve">0.0957</w:t>
            </w:r>
          </w:p>
        </w:tc>
        <w:tc>
          <w:tcPr/>
          <w:p>
            <w:pPr>
              <w:pStyle w:val="Compact"/>
              <w:jc w:val="right"/>
            </w:pPr>
            <w:r>
              <w:t xml:space="preserve">0.1005</w:t>
            </w:r>
          </w:p>
        </w:tc>
        <w:tc>
          <w:tcPr/>
          <w:p>
            <w:pPr>
              <w:pStyle w:val="Compact"/>
              <w:jc w:val="right"/>
            </w:pPr>
            <w:r>
              <w:t xml:space="preserve">0.1056</w:t>
            </w:r>
          </w:p>
        </w:tc>
        <w:tc>
          <w:tcPr/>
          <w:p>
            <w:pPr>
              <w:pStyle w:val="Compact"/>
              <w:jc w:val="right"/>
            </w:pPr>
            <w:r>
              <w:t xml:space="preserve">0.1015</w:t>
            </w:r>
          </w:p>
        </w:tc>
        <w:tc>
          <w:tcPr/>
          <w:p>
            <w:pPr>
              <w:pStyle w:val="Compact"/>
              <w:jc w:val="right"/>
            </w:pPr>
            <w:r>
              <w:t xml:space="preserve">6.5303</w:t>
            </w:r>
          </w:p>
        </w:tc>
      </w:tr>
      <w:tr>
        <w:tc>
          <w:tcPr/>
          <w:p>
            <w:pPr>
              <w:pStyle w:val="Compact"/>
            </w:pPr>
            <w:r>
              <w:t xml:space="preserve">pooled</w:t>
            </w:r>
          </w:p>
        </w:tc>
        <w:tc>
          <w:tcPr/>
          <w:p>
            <w:pPr>
              <w:pStyle w:val="Compact"/>
            </w:pPr>
            <w:r>
              <w:t xml:space="preserve">FWI</w:t>
            </w:r>
          </w:p>
        </w:tc>
        <w:tc>
          <w:tcPr/>
          <w:p>
            <w:pPr>
              <w:pStyle w:val="Compact"/>
              <w:jc w:val="right"/>
            </w:pPr>
            <w:r>
              <w:t xml:space="preserve">0.5079</w:t>
            </w:r>
          </w:p>
        </w:tc>
        <w:tc>
          <w:tcPr/>
          <w:p>
            <w:pPr>
              <w:pStyle w:val="Compact"/>
              <w:jc w:val="right"/>
            </w:pPr>
            <w:r>
              <w:t xml:space="preserve">0.0937</w:t>
            </w:r>
          </w:p>
        </w:tc>
        <w:tc>
          <w:tcPr/>
          <w:p>
            <w:pPr>
              <w:pStyle w:val="Compact"/>
              <w:jc w:val="right"/>
            </w:pPr>
            <w:r>
              <w:t xml:space="preserve">0.0994</w:t>
            </w:r>
          </w:p>
        </w:tc>
        <w:tc>
          <w:tcPr/>
          <w:p>
            <w:pPr>
              <w:pStyle w:val="Compact"/>
              <w:jc w:val="right"/>
            </w:pPr>
            <w:r>
              <w:t xml:space="preserve">0.1310</w:t>
            </w:r>
          </w:p>
        </w:tc>
        <w:tc>
          <w:tcPr/>
          <w:p>
            <w:pPr>
              <w:pStyle w:val="Compact"/>
              <w:jc w:val="right"/>
            </w:pPr>
            <w:r>
              <w:t xml:space="preserve">0.1044</w:t>
            </w:r>
          </w:p>
        </w:tc>
        <w:tc>
          <w:tcPr/>
          <w:p>
            <w:pPr>
              <w:pStyle w:val="Compact"/>
              <w:jc w:val="right"/>
            </w:pPr>
            <w:r>
              <w:t xml:space="preserve">6.5303</w:t>
            </w:r>
          </w:p>
        </w:tc>
      </w:tr>
      <w:tr>
        <w:tc>
          <w:tcPr/>
          <w:p>
            <w:pPr>
              <w:pStyle w:val="Compact"/>
            </w:pPr>
            <w:r>
              <w:t xml:space="preserve">2024</w:t>
            </w:r>
          </w:p>
        </w:tc>
        <w:tc>
          <w:tcPr/>
          <w:p>
            <w:pPr>
              <w:pStyle w:val="Compact"/>
            </w:pPr>
            <w:r>
              <w:t xml:space="preserve">INPE</w:t>
            </w:r>
          </w:p>
        </w:tc>
        <w:tc>
          <w:tcPr/>
          <w:p>
            <w:pPr>
              <w:pStyle w:val="Compact"/>
              <w:jc w:val="right"/>
            </w:pPr>
            <w:r>
              <w:t xml:space="preserve">0.4658</w:t>
            </w:r>
          </w:p>
        </w:tc>
        <w:tc>
          <w:tcPr/>
          <w:p>
            <w:pPr>
              <w:pStyle w:val="Compact"/>
              <w:jc w:val="right"/>
            </w:pPr>
            <w:r>
              <w:t xml:space="preserve">0.0838</w:t>
            </w:r>
          </w:p>
        </w:tc>
        <w:tc>
          <w:tcPr/>
          <w:p>
            <w:pPr>
              <w:pStyle w:val="Compact"/>
              <w:jc w:val="right"/>
            </w:pPr>
            <w:r>
              <w:t xml:space="preserve">0.0883</w:t>
            </w:r>
          </w:p>
        </w:tc>
        <w:tc>
          <w:tcPr/>
          <w:p>
            <w:pPr>
              <w:pStyle w:val="Compact"/>
              <w:jc w:val="right"/>
            </w:pPr>
            <w:r>
              <w:t xml:space="preserve">0.8454</w:t>
            </w:r>
          </w:p>
        </w:tc>
        <w:tc>
          <w:tcPr/>
          <w:p>
            <w:pPr>
              <w:pStyle w:val="Compact"/>
              <w:jc w:val="right"/>
            </w:pPr>
            <w:r>
              <w:t xml:space="preserve">0.1076</w:t>
            </w:r>
          </w:p>
        </w:tc>
        <w:tc>
          <w:tcPr/>
          <w:p>
            <w:pPr>
              <w:pStyle w:val="Compact"/>
              <w:jc w:val="right"/>
            </w:pPr>
            <w:r>
              <w:t xml:space="preserve">0.0486</w:t>
            </w:r>
          </w:p>
        </w:tc>
      </w:tr>
      <w:tr>
        <w:tc>
          <w:tcPr/>
          <w:p>
            <w:pPr>
              <w:pStyle w:val="Compact"/>
            </w:pPr>
            <w:r>
              <w:t xml:space="preserve">2025</w:t>
            </w:r>
          </w:p>
        </w:tc>
        <w:tc>
          <w:tcPr/>
          <w:p>
            <w:pPr>
              <w:pStyle w:val="Compact"/>
            </w:pPr>
            <w:r>
              <w:t xml:space="preserve">INPE</w:t>
            </w:r>
          </w:p>
        </w:tc>
        <w:tc>
          <w:tcPr/>
          <w:p>
            <w:pPr>
              <w:pStyle w:val="Compact"/>
              <w:jc w:val="right"/>
            </w:pPr>
            <w:r>
              <w:t xml:space="preserve">0.4644</w:t>
            </w:r>
          </w:p>
        </w:tc>
        <w:tc>
          <w:tcPr/>
          <w:p>
            <w:pPr>
              <w:pStyle w:val="Compact"/>
              <w:jc w:val="right"/>
            </w:pPr>
            <w:r>
              <w:t xml:space="preserve">0.0844</w:t>
            </w:r>
          </w:p>
        </w:tc>
        <w:tc>
          <w:tcPr/>
          <w:p>
            <w:pPr>
              <w:pStyle w:val="Compact"/>
              <w:jc w:val="right"/>
            </w:pPr>
            <w:r>
              <w:t xml:space="preserve">0.0891</w:t>
            </w:r>
          </w:p>
        </w:tc>
        <w:tc>
          <w:tcPr/>
          <w:p>
            <w:pPr>
              <w:pStyle w:val="Compact"/>
              <w:jc w:val="right"/>
            </w:pPr>
            <w:r>
              <w:t xml:space="preserve">0.7842</w:t>
            </w:r>
          </w:p>
        </w:tc>
        <w:tc>
          <w:tcPr/>
          <w:p>
            <w:pPr>
              <w:pStyle w:val="Compact"/>
              <w:jc w:val="right"/>
            </w:pPr>
            <w:r>
              <w:t xml:space="preserve">0.1083</w:t>
            </w:r>
          </w:p>
        </w:tc>
        <w:tc>
          <w:tcPr/>
          <w:p>
            <w:pPr>
              <w:pStyle w:val="Compact"/>
              <w:jc w:val="right"/>
            </w:pPr>
            <w:r>
              <w:t xml:space="preserve">0.0486</w:t>
            </w:r>
          </w:p>
        </w:tc>
      </w:tr>
      <w:tr>
        <w:tc>
          <w:tcPr/>
          <w:p>
            <w:pPr>
              <w:pStyle w:val="Compact"/>
            </w:pPr>
            <w:r>
              <w:t xml:space="preserve">pooled</w:t>
            </w:r>
          </w:p>
        </w:tc>
        <w:tc>
          <w:tcPr/>
          <w:p>
            <w:pPr>
              <w:pStyle w:val="Compact"/>
            </w:pPr>
            <w:r>
              <w:t xml:space="preserve">INPE</w:t>
            </w:r>
          </w:p>
        </w:tc>
        <w:tc>
          <w:tcPr/>
          <w:p>
            <w:pPr>
              <w:pStyle w:val="Compact"/>
              <w:jc w:val="right"/>
            </w:pPr>
            <w:r>
              <w:t xml:space="preserve">0.4656</w:t>
            </w:r>
          </w:p>
        </w:tc>
        <w:tc>
          <w:tcPr/>
          <w:p>
            <w:pPr>
              <w:pStyle w:val="Compact"/>
              <w:jc w:val="right"/>
            </w:pPr>
            <w:r>
              <w:t xml:space="preserve">0.0842</w:t>
            </w:r>
          </w:p>
        </w:tc>
        <w:tc>
          <w:tcPr/>
          <w:p>
            <w:pPr>
              <w:pStyle w:val="Compact"/>
              <w:jc w:val="right"/>
            </w:pPr>
            <w:r>
              <w:t xml:space="preserve">0.0886</w:t>
            </w:r>
          </w:p>
        </w:tc>
        <w:tc>
          <w:tcPr/>
          <w:p>
            <w:pPr>
              <w:pStyle w:val="Compact"/>
              <w:jc w:val="right"/>
            </w:pPr>
            <w:r>
              <w:t xml:space="preserve">0.8177</w:t>
            </w:r>
          </w:p>
        </w:tc>
        <w:tc>
          <w:tcPr/>
          <w:p>
            <w:pPr>
              <w:pStyle w:val="Compact"/>
              <w:jc w:val="right"/>
            </w:pPr>
            <w:r>
              <w:t xml:space="preserve">0.1079</w:t>
            </w:r>
          </w:p>
        </w:tc>
        <w:tc>
          <w:tcPr/>
          <w:p>
            <w:pPr>
              <w:pStyle w:val="Compact"/>
              <w:jc w:val="right"/>
            </w:pPr>
            <w:r>
              <w:t xml:space="preserve">0.0486</w:t>
            </w:r>
          </w:p>
        </w:tc>
      </w:tr>
    </w:tbl>
    <w:p>
      <w:pPr>
        <w:pStyle w:val="BodyText"/>
      </w:pPr>
      <w:r>
        <w:t xml:space="preserve">Classic indices were far weaker than either learned model. FWI reached ROC-AUC 0.498 in 2024 and 0.520 in 2025; INPE reached 0.466 and 0.464. Their PR-AUC was 0.084–0.096, below the 0.17–0.19 of M2/M3, and their F0.5 was 0.10–0.11 versus 0.19–0.21. INPE obtained high recall only by alerting almost everything (precision ≈0.09). Thus M2/M3 clearly outperform the Canadian and Brazilian indices in Formosa, but the learned models still do not reach the 0.75 transport threshold. The classic comparison does not rescue the cross-country claim; it only shows that the trained models remain the best available ranking in this domain.</w:t>
      </w:r>
    </w:p>
    <w:tbl>
      <w:tblPr>
        <w:tblStyle w:val="Table"/>
        <w:tblW w:type="pct" w:w="5000"/>
        <w:tblLayout w:type="fixed"/>
        <w:tblLook w:firstRow="0" w:lastRow="0" w:firstColumn="0" w:lastColumn="0" w:noHBand="0" w:noVBand="0" w:val="0000"/>
      </w:tblPr>
      <w:tblGrid>
        <w:gridCol w:w="7920"/>
      </w:tblGrid>
      <w:tr>
        <w:tc>
          <w:tcPr/>
          <w:bookmarkStart w:id="67" w:name="fig-supp10"/>
          <w:p>
            <w:pPr>
              <w:pStyle w:val="Compact"/>
              <w:jc w:val="center"/>
            </w:pPr>
            <w:r>
              <w:drawing>
                <wp:inline>
                  <wp:extent cx="7431411" cy="6510894"/>
                  <wp:effectExtent b="0" l="0" r="0" t="0"/>
                  <wp:docPr descr="" title="" id="65" name="Picture"/>
                  <a:graphic>
                    <a:graphicData uri="http://schemas.openxmlformats.org/drawingml/2006/picture">
                      <pic:pic>
                        <pic:nvPicPr>
                          <pic:cNvPr descr="../../entregables/figuras/supp_fig10_external_formosa.png" id="66" name="Picture"/>
                          <pic:cNvPicPr>
                            <a:picLocks noChangeArrowheads="1" noChangeAspect="1"/>
                          </pic:cNvPicPr>
                        </pic:nvPicPr>
                        <pic:blipFill>
                          <a:blip r:embed="rId64"/>
                          <a:stretch>
                            <a:fillRect/>
                          </a:stretch>
                        </pic:blipFill>
                        <pic:spPr bwMode="auto">
                          <a:xfrm>
                            <a:off x="0" y="0"/>
                            <a:ext cx="7431411" cy="651089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External cross-country validation in Formosa. ROC and precision–recall curves for G0-C in 2024 (left) and 2025 (right). M2 (blue) and M3 (orange) use frozen Chaco boosters with local Platt recalibration. The test is case-control (1:10), not population-weighted.</w:t>
            </w:r>
          </w:p>
          <w:bookmarkEnd w:id="67"/>
        </w:tc>
      </w:tr>
    </w:tbl>
    <w:bookmarkEnd w:id="68"/>
    <w:bookmarkEnd w:id="69"/>
    <w:bookmarkStart w:id="70" w:name="data-availability"/>
    <w:p>
      <w:pPr>
        <w:pStyle w:val="Heading1"/>
      </w:pPr>
      <w:r>
        <w:t xml:space="preserve">Data availability</w:t>
      </w:r>
    </w:p>
    <w:p>
      <w:pPr>
        <w:pStyle w:val="FirstParagraph"/>
      </w:pPr>
      <w:r>
        <w:t xml:space="preserve">Processed data, test predictions, trained models and derived tables are available in the v2.1.0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70"/>
    <w:bookmarkStart w:id="71"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71"/>
    <w:bookmarkStart w:id="86" w:name="references"/>
    <w:p>
      <w:pPr>
        <w:pStyle w:val="Heading1"/>
      </w:pPr>
      <w:r>
        <w:t xml:space="preserve">References</w:t>
      </w:r>
    </w:p>
    <w:bookmarkStart w:id="85" w:name="refs"/>
    <w:bookmarkStart w:id="72"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2"/>
    <w:bookmarkStart w:id="74"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73">
        <w:r>
          <w:rPr>
            <w:rStyle w:val="Hyperlink"/>
          </w:rPr>
          <w:t xml:space="preserve">https://chaco.mapbiomas.org/</w:t>
        </w:r>
      </w:hyperlink>
      <w:r>
        <w:t xml:space="preserve">.</w:t>
      </w:r>
    </w:p>
    <w:bookmarkEnd w:id="74"/>
    <w:bookmarkStart w:id="76"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75">
        <w:r>
          <w:rPr>
            <w:rStyle w:val="Hyperlink"/>
          </w:rPr>
          <w:t xml:space="preserve">https://doi.org/10.5194/essd-13-4349-2021</w:t>
        </w:r>
      </w:hyperlink>
    </w:p>
    <w:bookmarkEnd w:id="76"/>
    <w:bookmarkStart w:id="78"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77">
        <w:r>
          <w:rPr>
            <w:rStyle w:val="Hyperlink"/>
          </w:rPr>
          <w:t xml:space="preserve">https://firms.modaps.eosdis.nasa.gov/</w:t>
        </w:r>
      </w:hyperlink>
      <w:r>
        <w:t xml:space="preserve">.</w:t>
      </w:r>
    </w:p>
    <w:bookmarkEnd w:id="78"/>
    <w:bookmarkStart w:id="79"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79"/>
    <w:bookmarkStart w:id="81"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80">
        <w:r>
          <w:rPr>
            <w:rStyle w:val="Hyperlink"/>
          </w:rPr>
          <w:t xml:space="preserve">https://doi.org/10.1016/j.rse.2013.12.008</w:t>
        </w:r>
      </w:hyperlink>
    </w:p>
    <w:bookmarkEnd w:id="81"/>
    <w:bookmarkStart w:id="83"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82">
        <w:r>
          <w:rPr>
            <w:rStyle w:val="Hyperlink"/>
          </w:rPr>
          <w:t xml:space="preserve">http://queimadas.dgi.inpe.br</w:t>
        </w:r>
      </w:hyperlink>
    </w:p>
    <w:bookmarkEnd w:id="83"/>
    <w:bookmarkStart w:id="8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84"/>
    <w:bookmarkEnd w:id="85"/>
    <w:bookmarkEnd w:id="86"/>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2026-10-29T00:08:22Z</dcterms:created>
  <dcterms:modified xsi:type="dcterms:W3CDTF">2026-10-29T00:08:22Z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