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w:t>
      </w:r>
      <m:oMath>
        <m:sSup>
          <m:e>
            <m:r>
              <m:t>​</m:t>
            </m:r>
          </m:e>
          <m:sup>
            <m:r>
              <m:rPr>
                <m:sty m:val="p"/>
              </m:rPr>
              <m:t>−</m:t>
            </m:r>
            <m:r>
              <m:t>1</m:t>
            </m:r>
          </m:sup>
        </m:sSup>
      </m:oMath>
      <w:r>
        <w:t xml:space="preserve">)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1.5</m:t>
          </m:r>
          <m:r>
            <m:rPr>
              <m:sty m:val="p"/>
            </m:rPr>
            <m:t>,</m:t>
          </m:r>
          <m:r>
            <m:t>  </m:t>
          </m:r>
          <m:sSub>
            <m:e>
              <m:r>
                <m:t>m</m:t>
              </m:r>
            </m:e>
            <m:sub>
              <m:r>
                <m:t>0</m:t>
              </m:r>
            </m:sub>
          </m:sSub>
          <m:r>
            <m:rPr>
              <m:sty m:val="p"/>
            </m:rPr>
            <m:t>=</m:t>
          </m:r>
          <m:r>
            <m:t>20</m:t>
          </m:r>
          <m:r>
            <m:rPr>
              <m:sty m:val="p"/>
            </m:rPr>
            <m:t>+</m:t>
          </m:r>
          <m:sSup>
            <m:e>
              <m:r>
                <m:t>e</m:t>
              </m:r>
            </m:e>
            <m:sup>
              <m:r>
                <m:t>5.6348</m:t>
              </m:r>
              <m:r>
                <m:rPr>
                  <m:sty m:val="p"/>
                </m:rPr>
                <m:t>−</m:t>
              </m:r>
              <m:sSub>
                <m:e>
                  <m:r>
                    <m:t>D</m:t>
                  </m:r>
                </m:e>
                <m:sub>
                  <m:r>
                    <m:t>t</m:t>
                  </m:r>
                  <m:r>
                    <m:rPr>
                      <m:sty m:val="p"/>
                    </m:rPr>
                    <m:t>−</m:t>
                  </m:r>
                  <m:r>
                    <m:t>1</m:t>
                  </m:r>
                </m:sub>
              </m:sSub>
              <m:r>
                <m:rPr>
                  <m:sty m:val="p"/>
                </m:rPr>
                <m:t>/</m:t>
              </m:r>
              <m:r>
                <m:t>43.43</m:t>
              </m:r>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244.72</m:t>
          </m:r>
          <m:r>
            <m:rPr>
              <m:sty m:val="p"/>
            </m:rPr>
            <m:t>−</m:t>
          </m:r>
          <m:r>
            <m:t>43.43</m:t>
          </m:r>
          <m:r>
            <m:rPr>
              <m:sty m:val="p"/>
            </m:rPr>
            <m:t>ln</m:t>
          </m:r>
          <m:r>
            <m:rPr>
              <m:sty m:val="p"/>
            </m:rPr>
            <m:t>(</m:t>
          </m:r>
          <m:sSub>
            <m:e>
              <m:r>
                <m:t>m</m:t>
              </m:r>
            </m:e>
            <m:sub>
              <m:r>
                <m:t>r</m:t>
              </m:r>
            </m:sub>
          </m:sSub>
          <m:r>
            <m:rPr>
              <m:sty m:val="p"/>
            </m:rPr>
            <m:t>−</m:t>
          </m:r>
          <m:r>
            <m:t>20</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sSub>
            <m:e>
              <m:r>
                <m:t>L</m:t>
              </m:r>
            </m:e>
            <m:sub>
              <m:r>
                <m:t>e</m:t>
              </m:r>
            </m:sub>
          </m:sSub>
          <m:r>
            <m:rPr>
              <m:sty m:val="p"/>
            </m:rPr>
            <m:t>=</m:t>
          </m:r>
          <m:sSup>
            <m:e>
              <m:r>
                <m:t>e</m:t>
              </m:r>
            </m:e>
            <m:sup>
              <m:r>
                <m:t>2</m:t>
              </m:r>
              <m:r>
                <m:rPr>
                  <m:sty m:val="p"/>
                </m:rPr>
                <m:t>−</m:t>
              </m:r>
              <m:r>
                <m:t>0.2</m:t>
              </m:r>
              <m:sSub>
                <m:e>
                  <m:r>
                    <m:t>H</m:t>
                  </m:r>
                </m:e>
                <m:sub>
                  <m:r>
                    <m:t>c</m:t>
                  </m:r>
                </m:sub>
              </m:sSub>
              <m:r>
                <m:rPr>
                  <m:sty m:val="p"/>
                </m:rPr>
                <m:t>/</m:t>
              </m:r>
              <m:r>
                <m:t>100</m:t>
              </m:r>
            </m:sup>
          </m:sSup>
          <m:r>
            <m:rPr>
              <m:sty m:val="p"/>
            </m:rPr>
            <m:t>,</m:t>
          </m:r>
          <m:r>
            <m:t>  </m:t>
          </m:r>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6</m:t>
              </m:r>
            </m:sup>
          </m:sSup>
          <m:r>
            <m:rPr>
              <m:sty m:val="p"/>
            </m:rPr>
            <m:t>,</m:t>
          </m:r>
          <m:r>
            <m:t>  </m:t>
          </m:r>
          <m:sSub>
            <m:e>
              <m:r>
                <m:t>D</m:t>
              </m:r>
            </m:e>
            <m:sub>
              <m:r>
                <m:t>t</m:t>
              </m:r>
            </m:sub>
          </m:sSub>
          <m:r>
            <m:rPr>
              <m:sty m:val="p"/>
            </m:rPr>
            <m:t>=</m:t>
          </m:r>
          <m:sSup>
            <m:e>
              <m:r>
                <m:t>D</m:t>
              </m:r>
            </m:e>
            <m:sup>
              <m:r>
                <m:rPr>
                  <m:sty m:val="p"/>
                </m:rPr>
                <m:t>′</m:t>
              </m:r>
            </m:sup>
          </m:sSup>
          <m:sSup>
            <m:e>
              <m:r>
                <m:t>10</m:t>
              </m:r>
            </m:e>
            <m:sup>
              <m:r>
                <m:t>K</m:t>
              </m:r>
            </m:sup>
          </m:sSup>
          <m:r>
            <m:rPr>
              <m:sty m:val="p"/>
            </m:rPr>
            <m:t>.</m:t>
          </m:r>
        </m:oMath>
      </m:oMathPara>
    </w:p>
    <w:p>
      <w:pPr>
        <w:pStyle w:val="FirstParagraph"/>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w:t>
      </w:r>
      <m:oMath>
        <m:sSup>
          <m:e>
            <m:r>
              <m:t>​</m:t>
            </m:r>
          </m:e>
          <m:sup>
            <m:r>
              <m:rPr>
                <m:sty m:val="p"/>
              </m:rPr>
              <m:t>−</m:t>
            </m:r>
            <m:r>
              <m:t>1</m:t>
            </m:r>
          </m:sup>
        </m:sSup>
      </m:oMath>
      <w:r>
        <w:t xml:space="preserve">.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f>
                    <m:fPr>
                      <m:type m:val="bar"/>
                    </m:fPr>
                    <m:num>
                      <m:r>
                        <m:t>A</m:t>
                      </m:r>
                      <m:r>
                        <m:t> </m:t>
                      </m:r>
                      <m:r>
                        <m:t>P</m:t>
                      </m:r>
                      <m:r>
                        <m:t>S</m:t>
                      </m:r>
                      <m:sSub>
                        <m:e>
                          <m:r>
                            <m:t>E</m:t>
                          </m:r>
                        </m:e>
                        <m:sub>
                          <m:r>
                            <m:t>t</m:t>
                          </m:r>
                        </m:sub>
                      </m:sSub>
                    </m:num>
                    <m:den>
                      <m:r>
                        <m:t>120</m:t>
                      </m:r>
                    </m:den>
                  </m:f>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9"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07f687fb57b7bbd3ea5053bae4e633656f73e8"/>
    <w:p>
      <w:pPr>
        <w:pStyle w:val="Heading2"/>
      </w:pPr>
      <w:r>
        <w:t xml:space="preserve">S5.5 Control negativo y permutation importance</w:t>
      </w:r>
    </w:p>
    <w:p>
      <w:pPr>
        <w:pStyle w:val="FirstParagraph"/>
      </w:pPr>
      <w:r>
        <w:t xml:space="preserve">El control negativo reentrena M3 tras permutar aleatoriamente las etiquetas de entrenamiento, manteniendo las variables y las etiquetas de validación.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0.8013 [0.796 - 0.807]</w:t>
            </w:r>
          </w:p>
        </w:tc>
        <w:tc>
          <w:tcPr/>
          <w:p>
            <w:pPr>
              <w:pStyle w:val="Compact"/>
              <w:jc w:val="right"/>
            </w:pPr>
            <w:r>
              <w:t xml:space="preserve">0.2864</w:t>
            </w:r>
          </w:p>
        </w:tc>
        <w:tc>
          <w:tcPr/>
          <w:p>
            <w:pPr>
              <w:pStyle w:val="Compact"/>
              <w:jc w:val="right"/>
            </w:pPr>
            <w:r>
              <w:t xml:space="preserve">0.0732</w:t>
            </w:r>
          </w:p>
        </w:tc>
        <w:tc>
          <w:tcPr/>
          <w:p>
            <w:pPr>
              <w:pStyle w:val="Compact"/>
              <w:jc w:val="right"/>
            </w:pPr>
            <w:r>
              <w:t xml:space="preserve">0.1146</w:t>
            </w:r>
          </w:p>
        </w:tc>
        <w:tc>
          <w:tcPr/>
          <w:p>
            <w:pPr>
              <w:pStyle w:val="Compact"/>
              <w:jc w:val="right"/>
            </w:pPr>
            <w:r>
              <w:t xml:space="preserve">0.0065</w:t>
            </w:r>
          </w:p>
        </w:tc>
        <w:tc>
          <w:tcPr/>
          <w:p>
            <w:pPr>
              <w:pStyle w:val="Compact"/>
              <w:jc w:val="right"/>
            </w:pPr>
            <w:r>
              <w:t xml:space="preserve">0.2495</w:t>
            </w:r>
          </w:p>
        </w:tc>
        <w:tc>
          <w:tcPr/>
          <w:p>
            <w:pPr>
              <w:pStyle w:val="Compact"/>
              <w:jc w:val="right"/>
            </w:pPr>
            <w:r>
              <w:t xml:space="preserve">0.3466</w:t>
            </w:r>
          </w:p>
        </w:tc>
        <w:tc>
          <w:tcPr/>
          <w:p>
            <w:pPr>
              <w:pStyle w:val="Compact"/>
              <w:jc w:val="right"/>
            </w:pPr>
            <w:r>
              <w:t xml:space="preserve">0.2758</w:t>
            </w:r>
          </w:p>
        </w:tc>
        <w:tc>
          <w:tcPr/>
          <w:p>
            <w:pPr>
              <w:pStyle w:val="Compact"/>
              <w:jc w:val="right"/>
            </w:pPr>
            <w:r>
              <w:t xml:space="preserve">0.3297</w:t>
            </w:r>
          </w:p>
        </w:tc>
        <w:tc>
          <w:tcPr/>
          <w:p>
            <w:pPr>
              <w:pStyle w:val="Compact"/>
              <w:jc w:val="right"/>
            </w:pPr>
            <w:r>
              <w:t xml:space="preserve">8,347</w:t>
            </w:r>
          </w:p>
        </w:tc>
        <w:tc>
          <w:tcPr/>
          <w:p>
            <w:pPr>
              <w:pStyle w:val="Compact"/>
              <w:jc w:val="right"/>
            </w:pPr>
            <w:r>
              <w:t xml:space="preserve">-0.0009 (0.182)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0.7547 [0.749 - 0.760]</w:t>
            </w:r>
          </w:p>
        </w:tc>
        <w:tc>
          <w:tcPr/>
          <w:p>
            <w:pPr>
              <w:pStyle w:val="Compact"/>
              <w:jc w:val="right"/>
            </w:pPr>
            <w:r>
              <w:t xml:space="preserve">0.2359</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0.0077</w:t>
            </w:r>
          </w:p>
        </w:tc>
        <w:tc>
          <w:tcPr/>
          <w:p>
            <w:pPr>
              <w:pStyle w:val="Compact"/>
              <w:jc w:val="right"/>
            </w:pPr>
            <w:r>
              <w:t xml:space="preserve">0.2084</w:t>
            </w:r>
          </w:p>
        </w:tc>
        <w:tc>
          <w:tcPr/>
          <w:p>
            <w:pPr>
              <w:pStyle w:val="Compact"/>
              <w:jc w:val="right"/>
            </w:pPr>
            <w:r>
              <w:t xml:space="preserve">0.2901</w:t>
            </w:r>
          </w:p>
        </w:tc>
        <w:tc>
          <w:tcPr/>
          <w:p>
            <w:pPr>
              <w:pStyle w:val="Compact"/>
              <w:jc w:val="right"/>
            </w:pPr>
            <w:r>
              <w:t xml:space="preserve">0.2075</w:t>
            </w:r>
          </w:p>
        </w:tc>
        <w:tc>
          <w:tcPr/>
          <w:p>
            <w:pPr>
              <w:pStyle w:val="Compact"/>
              <w:jc w:val="right"/>
            </w:pPr>
            <w:r>
              <w:t xml:space="preserve">0.2687</w:t>
            </w:r>
          </w:p>
        </w:tc>
        <w:tc>
          <w:tcPr/>
          <w:p>
            <w:pPr>
              <w:pStyle w:val="Compact"/>
              <w:jc w:val="right"/>
            </w:pPr>
            <w:r>
              <w:t xml:space="preserve">9,228</w:t>
            </w:r>
          </w:p>
        </w:tc>
        <w:tc>
          <w:tcPr/>
          <w:p>
            <w:pPr>
              <w:pStyle w:val="Compact"/>
              <w:jc w:val="right"/>
            </w:pPr>
            <w:r>
              <w:t xml:space="preserve">+0.0013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(0.3029/2.1509 y 0.8963/0.0750,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0.068669</w:t>
            </w:r>
          </w:p>
        </w:tc>
        <w:tc>
          <w:tcPr/>
          <w:p>
            <w:pPr>
              <w:pStyle w:val="Compact"/>
              <w:jc w:val="right"/>
            </w:pPr>
            <w:r>
              <w:t xml:space="preserve">0.053930</w:t>
            </w:r>
          </w:p>
        </w:tc>
        <w:tc>
          <w:tcPr/>
          <w:p>
            <w:pPr>
              <w:pStyle w:val="Compact"/>
              <w:jc w:val="right"/>
            </w:pPr>
            <w:r>
              <w:t xml:space="preserve">0.082585</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-0.178710</w:t>
            </w:r>
          </w:p>
        </w:tc>
        <w:tc>
          <w:tcPr/>
          <w:p>
            <w:pPr>
              <w:pStyle w:val="Compact"/>
              <w:jc w:val="right"/>
            </w:pPr>
            <w:r>
              <w:t xml:space="preserve">-0.259917</w:t>
            </w:r>
          </w:p>
        </w:tc>
        <w:tc>
          <w:tcPr/>
          <w:p>
            <w:pPr>
              <w:pStyle w:val="Compact"/>
              <w:jc w:val="right"/>
            </w:pPr>
            <w:r>
              <w:t xml:space="preserve">-0.109427</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0.000147</w:t>
            </w:r>
          </w:p>
        </w:tc>
        <w:tc>
          <w:tcPr/>
          <w:p>
            <w:pPr>
              <w:pStyle w:val="Compact"/>
              <w:jc w:val="right"/>
            </w:pPr>
            <w:r>
              <w:t xml:space="preserve">0.871276</w:t>
            </w:r>
          </w:p>
        </w:tc>
        <w:tc>
          <w:tcPr/>
          <w:p>
            <w:pPr>
              <w:pStyle w:val="Compact"/>
              <w:jc w:val="right"/>
            </w:pPr>
            <w:r>
              <w:t xml:space="preserve">0.000006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-0.413676</w:t>
            </w:r>
          </w:p>
        </w:tc>
        <w:tc>
          <w:tcPr/>
          <w:p>
            <w:pPr>
              <w:pStyle w:val="Compact"/>
              <w:jc w:val="right"/>
            </w:pPr>
            <w:r>
              <w:t xml:space="preserve">-0.509413</w:t>
            </w:r>
          </w:p>
        </w:tc>
        <w:tc>
          <w:tcPr/>
          <w:p>
            <w:pPr>
              <w:pStyle w:val="Compact"/>
              <w:jc w:val="right"/>
            </w:pPr>
            <w:r>
              <w:t xml:space="preserve">-0.318557</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0.025776</w:t>
            </w:r>
          </w:p>
        </w:tc>
        <w:tc>
          <w:tcPr/>
          <w:p>
            <w:pPr>
              <w:pStyle w:val="Compact"/>
              <w:jc w:val="right"/>
            </w:pPr>
            <w:r>
              <w:t xml:space="preserve">0.014429</w:t>
            </w:r>
          </w:p>
        </w:tc>
        <w:tc>
          <w:tcPr/>
          <w:p>
            <w:pPr>
              <w:pStyle w:val="Compact"/>
              <w:jc w:val="right"/>
            </w:pPr>
            <w:r>
              <w:t xml:space="preserve">0.036279</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-0.124257</w:t>
            </w:r>
          </w:p>
        </w:tc>
        <w:tc>
          <w:tcPr/>
          <w:p>
            <w:pPr>
              <w:pStyle w:val="Compact"/>
              <w:jc w:val="right"/>
            </w:pPr>
            <w:r>
              <w:t xml:space="preserve">-0.146519</w:t>
            </w:r>
          </w:p>
        </w:tc>
        <w:tc>
          <w:tcPr/>
          <w:p>
            <w:pPr>
              <w:pStyle w:val="Compact"/>
              <w:jc w:val="right"/>
            </w:pPr>
            <w:r>
              <w:t xml:space="preserve">-0.104933</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-0.374511</w:t>
            </w:r>
          </w:p>
        </w:tc>
        <w:tc>
          <w:tcPr/>
          <w:p>
            <w:pPr>
              <w:pStyle w:val="Compact"/>
              <w:jc w:val="right"/>
            </w:pPr>
            <w:r>
              <w:t xml:space="preserve">-0.421440</w:t>
            </w:r>
          </w:p>
        </w:tc>
        <w:tc>
          <w:tcPr/>
          <w:p>
            <w:pPr>
              <w:pStyle w:val="Compact"/>
              <w:jc w:val="right"/>
            </w:pPr>
            <w:r>
              <w:t xml:space="preserve">-0.333288</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-0.875772</w:t>
            </w:r>
          </w:p>
        </w:tc>
        <w:tc>
          <w:tcPr/>
          <w:p>
            <w:pPr>
              <w:pStyle w:val="Compact"/>
              <w:jc w:val="right"/>
            </w:pPr>
            <w:r>
              <w:t xml:space="preserve">-0.976925</w:t>
            </w:r>
          </w:p>
        </w:tc>
        <w:tc>
          <w:tcPr/>
          <w:p>
            <w:pPr>
              <w:pStyle w:val="Compact"/>
              <w:jc w:val="right"/>
            </w:pPr>
            <w:r>
              <w:t xml:space="preserve">-0.787776</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0.000019</w:t>
            </w:r>
          </w:p>
        </w:tc>
        <w:tc>
          <w:tcPr/>
          <w:p>
            <w:pPr>
              <w:pStyle w:val="Compact"/>
              <w:jc w:val="right"/>
            </w:pPr>
            <w:r>
              <w:t xml:space="preserve">0.076437</w:t>
            </w:r>
          </w:p>
        </w:tc>
        <w:tc>
          <w:tcPr/>
          <w:p>
            <w:pPr>
              <w:pStyle w:val="Compact"/>
              <w:jc w:val="right"/>
            </w:pPr>
            <w:r>
              <w:t xml:space="preserve">0.000134</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-0.507812</w:t>
            </w:r>
          </w:p>
        </w:tc>
        <w:tc>
          <w:tcPr/>
          <w:p>
            <w:pPr>
              <w:pStyle w:val="Compact"/>
              <w:jc w:val="right"/>
            </w:pPr>
            <w:r>
              <w:t xml:space="preserve">-0.626129</w:t>
            </w:r>
          </w:p>
        </w:tc>
        <w:tc>
          <w:tcPr/>
          <w:p>
            <w:pPr>
              <w:pStyle w:val="Compact"/>
              <w:jc w:val="right"/>
            </w:pPr>
            <w:r>
              <w:t xml:space="preserve">-0.391812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0.095154</w:t>
            </w:r>
          </w:p>
        </w:tc>
        <w:tc>
          <w:tcPr/>
          <w:p>
            <w:pPr>
              <w:pStyle w:val="Compact"/>
              <w:jc w:val="right"/>
            </w:pPr>
            <w:r>
              <w:t xml:space="preserve">0.060975</w:t>
            </w:r>
          </w:p>
        </w:tc>
        <w:tc>
          <w:tcPr/>
          <w:p>
            <w:pPr>
              <w:pStyle w:val="Compact"/>
              <w:jc w:val="right"/>
            </w:pPr>
            <w:r>
              <w:t xml:space="preserve">0.128764</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-0.199841</w:t>
            </w:r>
          </w:p>
        </w:tc>
        <w:tc>
          <w:tcPr/>
          <w:p>
            <w:pPr>
              <w:pStyle w:val="Compact"/>
              <w:jc w:val="right"/>
            </w:pPr>
            <w:r>
              <w:t xml:space="preserve">-0.253252</w:t>
            </w:r>
          </w:p>
        </w:tc>
        <w:tc>
          <w:tcPr/>
          <w:p>
            <w:pPr>
              <w:pStyle w:val="Compact"/>
              <w:jc w:val="right"/>
            </w:pPr>
            <w:r>
              <w:t xml:space="preserve">-0.151506</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-0.790718</w:t>
            </w:r>
          </w:p>
        </w:tc>
        <w:tc>
          <w:tcPr/>
          <w:p>
            <w:pPr>
              <w:pStyle w:val="Compact"/>
              <w:jc w:val="right"/>
            </w:pPr>
            <w:r>
              <w:t xml:space="preserve">-0.903235</w:t>
            </w:r>
          </w:p>
        </w:tc>
        <w:tc>
          <w:tcPr/>
          <w:p>
            <w:pPr>
              <w:pStyle w:val="Compact"/>
              <w:jc w:val="right"/>
            </w:pPr>
            <w:r>
              <w:t xml:space="preserve">-0.686492</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0.000161</w:t>
            </w:r>
          </w:p>
        </w:tc>
        <w:tc>
          <w:tcPr/>
          <w:p>
            <w:pPr>
              <w:pStyle w:val="Compact"/>
              <w:jc w:val="right"/>
            </w:pPr>
            <w:r>
              <w:t xml:space="preserve">0.243979</w:t>
            </w:r>
          </w:p>
        </w:tc>
        <w:tc>
          <w:tcPr/>
          <w:p>
            <w:pPr>
              <w:pStyle w:val="Compact"/>
              <w:jc w:val="right"/>
            </w:pPr>
            <w:r>
              <w:t xml:space="preserve">0.000253</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-0.546558</w:t>
            </w:r>
          </w:p>
        </w:tc>
        <w:tc>
          <w:tcPr/>
          <w:p>
            <w:pPr>
              <w:pStyle w:val="Compact"/>
              <w:jc w:val="right"/>
            </w:pPr>
            <w:r>
              <w:t xml:space="preserve">-0.644759</w:t>
            </w:r>
          </w:p>
        </w:tc>
        <w:tc>
          <w:tcPr/>
          <w:p>
            <w:pPr>
              <w:pStyle w:val="Compact"/>
              <w:jc w:val="right"/>
            </w:pPr>
            <w:r>
              <w:t xml:space="preserve">-0.447792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-0.121545</w:t>
            </w:r>
          </w:p>
        </w:tc>
        <w:tc>
          <w:tcPr/>
          <w:p>
            <w:pPr>
              <w:pStyle w:val="Compact"/>
              <w:jc w:val="right"/>
            </w:pPr>
            <w:r>
              <w:t xml:space="preserve">-0.169156</w:t>
            </w:r>
          </w:p>
        </w:tc>
        <w:tc>
          <w:tcPr/>
          <w:p>
            <w:pPr>
              <w:pStyle w:val="Compact"/>
              <w:jc w:val="right"/>
            </w:pPr>
            <w:r>
              <w:t xml:space="preserve">-0.071252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-0.046250</w:t>
            </w:r>
          </w:p>
        </w:tc>
        <w:tc>
          <w:tcPr/>
          <w:p>
            <w:pPr>
              <w:pStyle w:val="Compact"/>
              <w:jc w:val="right"/>
            </w:pPr>
            <w:r>
              <w:t xml:space="preserve">-0.121375</w:t>
            </w:r>
          </w:p>
        </w:tc>
        <w:tc>
          <w:tcPr/>
          <w:p>
            <w:pPr>
              <w:pStyle w:val="Compact"/>
              <w:jc w:val="right"/>
            </w:pPr>
            <w:r>
              <w:t xml:space="preserve">0.021749</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-0.888181</w:t>
            </w:r>
          </w:p>
        </w:tc>
        <w:tc>
          <w:tcPr/>
          <w:p>
            <w:pPr>
              <w:pStyle w:val="Compact"/>
              <w:jc w:val="right"/>
            </w:pPr>
            <w:r>
              <w:t xml:space="preserve">-1.000000</w:t>
            </w:r>
          </w:p>
        </w:tc>
        <w:tc>
          <w:tcPr/>
          <w:p>
            <w:pPr>
              <w:pStyle w:val="Compact"/>
              <w:jc w:val="right"/>
            </w:pPr>
            <w:r>
              <w:t xml:space="preserve">-0.760532</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0.000329</w:t>
            </w:r>
          </w:p>
        </w:tc>
        <w:tc>
          <w:tcPr/>
          <w:p>
            <w:pPr>
              <w:pStyle w:val="Compact"/>
              <w:jc w:val="right"/>
            </w:pPr>
            <w:r>
              <w:t xml:space="preserve">0.696328</w:t>
            </w:r>
          </w:p>
        </w:tc>
        <w:tc>
          <w:tcPr/>
          <w:p>
            <w:pPr>
              <w:pStyle w:val="Compact"/>
              <w:jc w:val="right"/>
            </w:pPr>
            <w:r>
              <w:t xml:space="preserve">0.000085</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898876"/>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898876"/>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0.5389 [0.529 - 0.549]</w:t>
            </w:r>
          </w:p>
        </w:tc>
        <w:tc>
          <w:tcPr/>
          <w:p>
            <w:pPr>
              <w:pStyle w:val="Compact"/>
              <w:jc w:val="right"/>
            </w:pPr>
            <w:r>
              <w:t xml:space="preserve">0.1031</w:t>
            </w:r>
          </w:p>
        </w:tc>
        <w:tc>
          <w:tcPr/>
          <w:p>
            <w:pPr>
              <w:pStyle w:val="Compact"/>
              <w:jc w:val="right"/>
            </w:pPr>
            <w:r>
              <w:t xml:space="preserve">0.8963</w:t>
            </w:r>
          </w:p>
        </w:tc>
        <w:tc>
          <w:tcPr/>
          <w:p>
            <w:pPr>
              <w:pStyle w:val="Compact"/>
              <w:jc w:val="right"/>
            </w:pPr>
            <w:r>
              <w:t xml:space="preserve">0.1172</w:t>
            </w:r>
          </w:p>
        </w:tc>
        <w:tc>
          <w:tcPr/>
          <w:p>
            <w:pPr>
              <w:pStyle w:val="Compact"/>
              <w:jc w:val="right"/>
            </w:pPr>
            <w:r>
              <w:t xml:space="preserve">0.1257</w:t>
            </w:r>
          </w:p>
        </w:tc>
        <w:tc>
          <w:tcPr/>
          <w:p>
            <w:pPr>
              <w:pStyle w:val="Compact"/>
              <w:jc w:val="right"/>
            </w:pPr>
            <w:r>
              <w:t xml:space="preserve">0.1188</w:t>
            </w:r>
          </w:p>
        </w:tc>
        <w:tc>
          <w:tcPr/>
          <w:p>
            <w:pPr>
              <w:pStyle w:val="Compact"/>
              <w:jc w:val="right"/>
            </w:pPr>
            <w:r>
              <w:t xml:space="preserve">15,207</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0.4979 [0.489 - 0.507]</w:t>
            </w:r>
          </w:p>
        </w:tc>
        <w:tc>
          <w:tcPr/>
          <w:p>
            <w:pPr>
              <w:pStyle w:val="Compact"/>
              <w:jc w:val="right"/>
            </w:pPr>
            <w:r>
              <w:t xml:space="preserve">0.0883</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-0.0409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0.4990 [0.488 - 0.510]</w:t>
            </w:r>
          </w:p>
        </w:tc>
        <w:tc>
          <w:tcPr/>
          <w:p>
            <w:pPr>
              <w:pStyle w:val="Compact"/>
              <w:jc w:val="right"/>
            </w:pPr>
            <w:r>
              <w:t xml:space="preserve">0.0908</w:t>
            </w:r>
          </w:p>
        </w:tc>
        <w:tc>
          <w:tcPr/>
          <w:p>
            <w:pPr>
              <w:pStyle w:val="Compact"/>
              <w:jc w:val="right"/>
            </w:pPr>
            <w:r>
              <w:t xml:space="preserve">0.0750</w:t>
            </w:r>
          </w:p>
        </w:tc>
        <w:tc>
          <w:tcPr/>
          <w:p>
            <w:pPr>
              <w:pStyle w:val="Compact"/>
              <w:jc w:val="right"/>
            </w:pPr>
            <w:r>
              <w:t xml:space="preserve">0.0924</w:t>
            </w:r>
          </w:p>
        </w:tc>
        <w:tc>
          <w:tcPr/>
          <w:p>
            <w:pPr>
              <w:pStyle w:val="Compact"/>
              <w:jc w:val="right"/>
            </w:pPr>
            <w:r>
              <w:t xml:space="preserve">0.7947</w:t>
            </w:r>
          </w:p>
        </w:tc>
        <w:tc>
          <w:tcPr/>
          <w:p>
            <w:pPr>
              <w:pStyle w:val="Compact"/>
              <w:jc w:val="right"/>
            </w:pPr>
            <w:r>
              <w:t xml:space="preserve">0.1123</w:t>
            </w:r>
          </w:p>
        </w:tc>
        <w:tc>
          <w:tcPr/>
          <w:p>
            <w:pPr>
              <w:pStyle w:val="Compact"/>
              <w:jc w:val="right"/>
            </w:pPr>
            <w:r>
              <w:t xml:space="preserve">141,802</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+0.0508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0.093</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1.839</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43.579</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43.014</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2.793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-1.091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0.036</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0.0687</w:t>
            </w:r>
          </w:p>
        </w:tc>
        <w:tc>
          <w:tcPr/>
          <w:p>
            <w:pPr>
              <w:pStyle w:val="Compact"/>
              <w:jc w:val="right"/>
            </w:pPr>
            <w:r>
              <w:t xml:space="preserve">+0.3033</w:t>
            </w:r>
          </w:p>
        </w:tc>
        <w:tc>
          <w:tcPr/>
          <w:p>
            <w:pPr>
              <w:pStyle w:val="Compact"/>
            </w:pPr>
            <w:r>
              <w:t xml:space="preserve">[+0.2839, +0.3222]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0.0236</w:t>
            </w:r>
          </w:p>
        </w:tc>
        <w:tc>
          <w:tcPr/>
          <w:p>
            <w:pPr>
              <w:pStyle w:val="Compact"/>
              <w:jc w:val="right"/>
            </w:pPr>
            <w:r>
              <w:t xml:space="preserve">+0.3477</w:t>
            </w:r>
          </w:p>
        </w:tc>
        <w:tc>
          <w:tcPr/>
          <w:p>
            <w:pPr>
              <w:pStyle w:val="Compact"/>
            </w:pPr>
            <w:r>
              <w:t xml:space="preserve">[+0.3200, +0.3735]</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0.0010</w:t>
            </w:r>
          </w:p>
        </w:tc>
        <w:tc>
          <w:tcPr/>
          <w:p>
            <w:pPr>
              <w:pStyle w:val="Compact"/>
              <w:jc w:val="right"/>
            </w:pPr>
            <w:r>
              <w:t xml:space="preserve">+0.1013</w:t>
            </w:r>
          </w:p>
        </w:tc>
        <w:tc>
          <w:tcPr/>
          <w:p>
            <w:pPr>
              <w:pStyle w:val="Compact"/>
            </w:pPr>
            <w:r>
              <w:t xml:space="preserve">[+0.0863, +0.1147]</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0.0000</w:t>
            </w:r>
          </w:p>
        </w:tc>
        <w:tc>
          <w:tcPr/>
          <w:p>
            <w:pPr>
              <w:pStyle w:val="Compact"/>
              <w:jc w:val="right"/>
            </w:pPr>
            <w:r>
              <w:t xml:space="preserve">+0.0155</w:t>
            </w:r>
          </w:p>
        </w:tc>
        <w:tc>
          <w:tcPr/>
          <w:p>
            <w:pPr>
              <w:pStyle w:val="Compact"/>
            </w:pPr>
            <w:r>
              <w:t xml:space="preserve">[+0.0104, +0.0204]</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0.0178</w:t>
            </w:r>
          </w:p>
        </w:tc>
        <w:tc>
          <w:tcPr/>
          <w:p>
            <w:pPr>
              <w:pStyle w:val="Compact"/>
              <w:jc w:val="right"/>
            </w:pPr>
            <w:r>
              <w:t xml:space="preserve">+0.1006</w:t>
            </w:r>
          </w:p>
        </w:tc>
        <w:tc>
          <w:tcPr/>
          <w:p>
            <w:pPr>
              <w:pStyle w:val="Compact"/>
            </w:pPr>
            <w:r>
              <w:t xml:space="preserve">[+0.0853, +0.1165]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0.0632</w:t>
            </w:r>
          </w:p>
        </w:tc>
        <w:tc>
          <w:tcPr/>
          <w:p>
            <w:pPr>
              <w:pStyle w:val="Compact"/>
              <w:jc w:val="right"/>
            </w:pPr>
            <w:r>
              <w:t xml:space="preserve">+0.1642</w:t>
            </w:r>
          </w:p>
        </w:tc>
        <w:tc>
          <w:tcPr/>
          <w:p>
            <w:pPr>
              <w:pStyle w:val="Compact"/>
            </w:pPr>
            <w:r>
              <w:t xml:space="preserve">[+0.1403, +0.1873]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0.0990</w:t>
            </w:r>
          </w:p>
        </w:tc>
        <w:tc>
          <w:tcPr/>
          <w:p>
            <w:pPr>
              <w:pStyle w:val="Compact"/>
              <w:jc w:val="right"/>
            </w:pPr>
            <w:r>
              <w:t xml:space="preserve">+0.2140</w:t>
            </w:r>
          </w:p>
        </w:tc>
        <w:tc>
          <w:tcPr/>
          <w:p>
            <w:pPr>
              <w:pStyle w:val="Compact"/>
            </w:pPr>
            <w:r>
              <w:t xml:space="preserve">[+0.1837, +0.2429]</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0.0041</w:t>
            </w:r>
          </w:p>
        </w:tc>
        <w:tc>
          <w:tcPr/>
          <w:p>
            <w:pPr>
              <w:pStyle w:val="Compact"/>
              <w:jc w:val="right"/>
            </w:pPr>
            <w:r>
              <w:t xml:space="preserve">+0.1053</w:t>
            </w:r>
          </w:p>
        </w:tc>
        <w:tc>
          <w:tcPr/>
          <w:p>
            <w:pPr>
              <w:pStyle w:val="Compact"/>
            </w:pPr>
            <w:r>
              <w:t xml:space="preserve">[+0.0891, +0.1203]</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0.5173</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0.5105</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0.5140</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0.5096</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0.5564</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0.5457</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0.5444</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0.5342</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0.4719 [0.457–0.488]</w:t>
            </w:r>
          </w:p>
        </w:tc>
        <w:tc>
          <w:tcPr/>
          <w:p>
            <w:pPr>
              <w:pStyle w:val="Compact"/>
              <w:jc w:val="right"/>
            </w:pPr>
            <w:r>
              <w:t xml:space="preserve">0.0685</w:t>
            </w:r>
          </w:p>
        </w:tc>
        <w:tc>
          <w:tcPr/>
          <w:p>
            <w:pPr>
              <w:pStyle w:val="Compact"/>
              <w:jc w:val="right"/>
            </w:pPr>
            <w:r>
              <w:t xml:space="preserve">—</w:t>
            </w:r>
          </w:p>
        </w:tc>
        <w:tc>
          <w:tcPr/>
          <w:p>
            <w:pPr>
              <w:pStyle w:val="Compact"/>
              <w:jc w:val="right"/>
            </w:pPr>
            <w:r>
              <w:t xml:space="preserve">—</w:t>
            </w:r>
          </w:p>
        </w:tc>
        <w:tc>
          <w:tcPr/>
          <w:p>
            <w:pPr>
              <w:pStyle w:val="Compact"/>
              <w:jc w:val="right"/>
            </w:pPr>
            <w:r>
              <w:t xml:space="preserve">3.2369</w:t>
            </w:r>
          </w:p>
        </w:tc>
        <w:tc>
          <w:tcPr/>
          <w:p>
            <w:pPr>
              <w:pStyle w:val="Compact"/>
              <w:jc w:val="right"/>
            </w:pPr>
            <w:r>
              <w:t xml:space="preserve">0.0679</w:t>
            </w:r>
          </w:p>
        </w:tc>
        <w:tc>
          <w:tcPr/>
          <w:p>
            <w:pPr>
              <w:pStyle w:val="Compact"/>
              <w:jc w:val="right"/>
            </w:pPr>
            <w:r>
              <w:t xml:space="preserve">0.4043</w:t>
            </w:r>
          </w:p>
        </w:tc>
        <w:tc>
          <w:tcPr/>
          <w:p>
            <w:pPr>
              <w:pStyle w:val="Compact"/>
              <w:jc w:val="right"/>
            </w:pPr>
            <w:r>
              <w:t xml:space="preserve">0.0814</w:t>
            </w:r>
          </w:p>
        </w:tc>
        <w:tc>
          <w:tcPr/>
          <w:p>
            <w:pPr>
              <w:pStyle w:val="Compact"/>
              <w:jc w:val="right"/>
            </w:pPr>
            <w:r>
              <w:t xml:space="preserve">0.000153</w:t>
            </w:r>
          </w:p>
        </w:tc>
        <w:tc>
          <w:tcPr/>
          <w:p>
            <w:pPr>
              <w:pStyle w:val="Compact"/>
              <w:jc w:val="right"/>
            </w:pPr>
            <w:r>
              <w:t xml:space="preserve">0.4043</w:t>
            </w:r>
          </w:p>
        </w:tc>
        <w:tc>
          <w:tcPr/>
          <w:p>
            <w:pPr>
              <w:pStyle w:val="Compact"/>
              <w:jc w:val="right"/>
            </w:pPr>
            <w:r>
              <w:t xml:space="preserve">27,976</w:t>
            </w:r>
          </w:p>
        </w:tc>
        <w:tc>
          <w:tcPr/>
          <w:p>
            <w:pPr>
              <w:pStyle w:val="Compact"/>
              <w:jc w:val="right"/>
            </w:pPr>
            <w:r>
              <w:t xml:space="preserve">—</w:t>
            </w:r>
          </w:p>
        </w:tc>
      </w:tr>
      <w:tr>
        <w:tc>
          <w:tcPr/>
          <w:p>
            <w:pPr>
              <w:pStyle w:val="Compact"/>
            </w:pPr>
            <w:r>
              <w:t xml:space="preserve">INPE</w:t>
            </w:r>
          </w:p>
        </w:tc>
        <w:tc>
          <w:tcPr/>
          <w:p>
            <w:pPr>
              <w:pStyle w:val="Compact"/>
            </w:pPr>
            <w:r>
              <w:t xml:space="preserve">0.5845 [0.570–0.600]</w:t>
            </w:r>
          </w:p>
        </w:tc>
        <w:tc>
          <w:tcPr/>
          <w:p>
            <w:pPr>
              <w:pStyle w:val="Compact"/>
              <w:jc w:val="right"/>
            </w:pPr>
            <w:r>
              <w:t xml:space="preserve">0.1006</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0.8896</w:t>
            </w:r>
          </w:p>
        </w:tc>
        <w:tc>
          <w:tcPr/>
          <w:p>
            <w:pPr>
              <w:pStyle w:val="Compact"/>
              <w:jc w:val="right"/>
            </w:pPr>
            <w:r>
              <w:t xml:space="preserve">0.0960</w:t>
            </w:r>
          </w:p>
        </w:tc>
        <w:tc>
          <w:tcPr/>
          <w:p>
            <w:pPr>
              <w:pStyle w:val="Compact"/>
              <w:jc w:val="right"/>
            </w:pPr>
            <w:r>
              <w:t xml:space="preserve">0.000131</w:t>
            </w:r>
          </w:p>
        </w:tc>
        <w:tc>
          <w:tcPr/>
          <w:p>
            <w:pPr>
              <w:pStyle w:val="Compact"/>
              <w:jc w:val="right"/>
            </w:pPr>
            <w:r>
              <w:t xml:space="preserve">0.8896</w:t>
            </w:r>
          </w:p>
        </w:tc>
        <w:tc>
          <w:tcPr/>
          <w:p>
            <w:pPr>
              <w:pStyle w:val="Compact"/>
              <w:jc w:val="right"/>
            </w:pPr>
            <w:r>
              <w:t xml:space="preserve">52,596</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1661"/>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1661"/>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Start w:id="68"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(IC 95 %;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Brazo / variante</w:t>
            </w:r>
          </w:p>
        </w:tc>
        <w:tc>
          <w:tcPr/>
          <w:p>
            <w:pPr>
              <w:pStyle w:val="Compact"/>
              <w:jc w:val="right"/>
            </w:pPr>
            <w:r>
              <w:t xml:space="preserve">ROC 2024 M2 / M3</w:t>
            </w:r>
          </w:p>
        </w:tc>
        <w:tc>
          <w:tcPr/>
          <w:p>
            <w:pPr>
              <w:pStyle w:val="Compact"/>
              <w:jc w:val="right"/>
            </w:pPr>
            <w:r>
              <w:t xml:space="preserve">ROC 2025 M2 / M3</w:t>
            </w:r>
          </w:p>
        </w:tc>
        <w:tc>
          <w:tcPr/>
          <w:p>
            <w:pPr>
              <w:pStyle w:val="Compact"/>
            </w:pPr>
            <w:r>
              <w:t xml:space="preserve">Nota</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congelado</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recalibración local</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reentrenamiento PY+Formosa</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sensibilidad</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elimina 22 % del área, 43 % de detecciones, 33 % de positivos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Corte</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0.4984</w:t>
            </w:r>
          </w:p>
        </w:tc>
        <w:tc>
          <w:tcPr/>
          <w:p>
            <w:pPr>
              <w:pStyle w:val="Compact"/>
              <w:jc w:val="right"/>
            </w:pPr>
            <w:r>
              <w:t xml:space="preserve">0.0926</w:t>
            </w:r>
          </w:p>
        </w:tc>
        <w:tc>
          <w:tcPr/>
          <w:p>
            <w:pPr>
              <w:pStyle w:val="Compact"/>
              <w:jc w:val="right"/>
            </w:pPr>
            <w:r>
              <w:t xml:space="preserve">0.0988</w:t>
            </w:r>
          </w:p>
        </w:tc>
        <w:tc>
          <w:tcPr/>
          <w:p>
            <w:pPr>
              <w:pStyle w:val="Compact"/>
              <w:jc w:val="right"/>
            </w:pPr>
            <w:r>
              <w:t xml:space="preserve">0.1519</w:t>
            </w:r>
          </w:p>
        </w:tc>
        <w:tc>
          <w:tcPr/>
          <w:p>
            <w:pPr>
              <w:pStyle w:val="Compact"/>
              <w:jc w:val="right"/>
            </w:pPr>
            <w:r>
              <w:t xml:space="preserve">0.1062</w:t>
            </w:r>
          </w:p>
        </w:tc>
        <w:tc>
          <w:tcPr/>
          <w:p>
            <w:pPr>
              <w:pStyle w:val="Compact"/>
              <w:jc w:val="right"/>
            </w:pPr>
            <w:r>
              <w:t xml:space="preserve">6.5303</w:t>
            </w:r>
          </w:p>
        </w:tc>
      </w:tr>
      <w:tr>
        <w:tc>
          <w:tcPr/>
          <w:p>
            <w:pPr>
              <w:pStyle w:val="Compact"/>
            </w:pPr>
            <w:r>
              <w:t xml:space="preserve">2025</w:t>
            </w:r>
          </w:p>
        </w:tc>
        <w:tc>
          <w:tcPr/>
          <w:p>
            <w:pPr>
              <w:pStyle w:val="Compact"/>
            </w:pPr>
            <w:r>
              <w:t xml:space="preserve">FWI</w:t>
            </w:r>
          </w:p>
        </w:tc>
        <w:tc>
          <w:tcPr/>
          <w:p>
            <w:pPr>
              <w:pStyle w:val="Compact"/>
              <w:jc w:val="right"/>
            </w:pPr>
            <w:r>
              <w:t xml:space="preserve">0.5197</w:t>
            </w:r>
          </w:p>
        </w:tc>
        <w:tc>
          <w:tcPr/>
          <w:p>
            <w:pPr>
              <w:pStyle w:val="Compact"/>
              <w:jc w:val="right"/>
            </w:pPr>
            <w:r>
              <w:t xml:space="preserve">0.0957</w:t>
            </w:r>
          </w:p>
        </w:tc>
        <w:tc>
          <w:tcPr/>
          <w:p>
            <w:pPr>
              <w:pStyle w:val="Compact"/>
              <w:jc w:val="right"/>
            </w:pPr>
            <w:r>
              <w:t xml:space="preserve">0.1005</w:t>
            </w:r>
          </w:p>
        </w:tc>
        <w:tc>
          <w:tcPr/>
          <w:p>
            <w:pPr>
              <w:pStyle w:val="Compact"/>
              <w:jc w:val="right"/>
            </w:pPr>
            <w:r>
              <w:t xml:space="preserve">0.1056</w:t>
            </w:r>
          </w:p>
        </w:tc>
        <w:tc>
          <w:tcPr/>
          <w:p>
            <w:pPr>
              <w:pStyle w:val="Compact"/>
              <w:jc w:val="right"/>
            </w:pPr>
            <w:r>
              <w:t xml:space="preserve">0.1015</w:t>
            </w:r>
          </w:p>
        </w:tc>
        <w:tc>
          <w:tcPr/>
          <w:p>
            <w:pPr>
              <w:pStyle w:val="Compact"/>
              <w:jc w:val="right"/>
            </w:pPr>
            <w:r>
              <w:t xml:space="preserve">6.5303</w:t>
            </w:r>
          </w:p>
        </w:tc>
      </w:tr>
      <w:tr>
        <w:tc>
          <w:tcPr/>
          <w:p>
            <w:pPr>
              <w:pStyle w:val="Compact"/>
            </w:pPr>
            <w:r>
              <w:t xml:space="preserve">pooled</w:t>
            </w:r>
          </w:p>
        </w:tc>
        <w:tc>
          <w:tcPr/>
          <w:p>
            <w:pPr>
              <w:pStyle w:val="Compact"/>
            </w:pPr>
            <w:r>
              <w:t xml:space="preserve">FWI</w:t>
            </w:r>
          </w:p>
        </w:tc>
        <w:tc>
          <w:tcPr/>
          <w:p>
            <w:pPr>
              <w:pStyle w:val="Compact"/>
              <w:jc w:val="right"/>
            </w:pPr>
            <w:r>
              <w:t xml:space="preserve">0.5079</w:t>
            </w:r>
          </w:p>
        </w:tc>
        <w:tc>
          <w:tcPr/>
          <w:p>
            <w:pPr>
              <w:pStyle w:val="Compact"/>
              <w:jc w:val="right"/>
            </w:pPr>
            <w:r>
              <w:t xml:space="preserve">0.0937</w:t>
            </w:r>
          </w:p>
        </w:tc>
        <w:tc>
          <w:tcPr/>
          <w:p>
            <w:pPr>
              <w:pStyle w:val="Compact"/>
              <w:jc w:val="right"/>
            </w:pPr>
            <w:r>
              <w:t xml:space="preserve">0.0994</w:t>
            </w:r>
          </w:p>
        </w:tc>
        <w:tc>
          <w:tcPr/>
          <w:p>
            <w:pPr>
              <w:pStyle w:val="Compact"/>
              <w:jc w:val="right"/>
            </w:pPr>
            <w:r>
              <w:t xml:space="preserve">0.1310</w:t>
            </w:r>
          </w:p>
        </w:tc>
        <w:tc>
          <w:tcPr/>
          <w:p>
            <w:pPr>
              <w:pStyle w:val="Compact"/>
              <w:jc w:val="right"/>
            </w:pPr>
            <w:r>
              <w:t xml:space="preserve">0.1044</w:t>
            </w:r>
          </w:p>
        </w:tc>
        <w:tc>
          <w:tcPr/>
          <w:p>
            <w:pPr>
              <w:pStyle w:val="Compact"/>
              <w:jc w:val="right"/>
            </w:pPr>
            <w:r>
              <w:t xml:space="preserve">6.5303</w:t>
            </w:r>
          </w:p>
        </w:tc>
      </w:tr>
      <w:tr>
        <w:tc>
          <w:tcPr/>
          <w:p>
            <w:pPr>
              <w:pStyle w:val="Compact"/>
            </w:pPr>
            <w:r>
              <w:t xml:space="preserve">2024</w:t>
            </w:r>
          </w:p>
        </w:tc>
        <w:tc>
          <w:tcPr/>
          <w:p>
            <w:pPr>
              <w:pStyle w:val="Compact"/>
            </w:pPr>
            <w:r>
              <w:t xml:space="preserve">INPE</w:t>
            </w:r>
          </w:p>
        </w:tc>
        <w:tc>
          <w:tcPr/>
          <w:p>
            <w:pPr>
              <w:pStyle w:val="Compact"/>
              <w:jc w:val="right"/>
            </w:pPr>
            <w:r>
              <w:t xml:space="preserve">0.4658</w:t>
            </w:r>
          </w:p>
        </w:tc>
        <w:tc>
          <w:tcPr/>
          <w:p>
            <w:pPr>
              <w:pStyle w:val="Compact"/>
              <w:jc w:val="right"/>
            </w:pPr>
            <w:r>
              <w:t xml:space="preserve">0.0838</w:t>
            </w:r>
          </w:p>
        </w:tc>
        <w:tc>
          <w:tcPr/>
          <w:p>
            <w:pPr>
              <w:pStyle w:val="Compact"/>
              <w:jc w:val="right"/>
            </w:pPr>
            <w:r>
              <w:t xml:space="preserve">0.0883</w:t>
            </w:r>
          </w:p>
        </w:tc>
        <w:tc>
          <w:tcPr/>
          <w:p>
            <w:pPr>
              <w:pStyle w:val="Compact"/>
              <w:jc w:val="right"/>
            </w:pPr>
            <w:r>
              <w:t xml:space="preserve">0.8454</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0.4644</w:t>
            </w:r>
          </w:p>
        </w:tc>
        <w:tc>
          <w:tcPr/>
          <w:p>
            <w:pPr>
              <w:pStyle w:val="Compact"/>
              <w:jc w:val="right"/>
            </w:pPr>
            <w:r>
              <w:t xml:space="preserve">0.0844</w:t>
            </w:r>
          </w:p>
        </w:tc>
        <w:tc>
          <w:tcPr/>
          <w:p>
            <w:pPr>
              <w:pStyle w:val="Compact"/>
              <w:jc w:val="right"/>
            </w:pPr>
            <w:r>
              <w:t xml:space="preserve">0.0891</w:t>
            </w:r>
          </w:p>
        </w:tc>
        <w:tc>
          <w:tcPr/>
          <w:p>
            <w:pPr>
              <w:pStyle w:val="Compact"/>
              <w:jc w:val="right"/>
            </w:pPr>
            <w:r>
              <w:t xml:space="preserve">0.7842</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0.4656</w:t>
            </w:r>
          </w:p>
        </w:tc>
        <w:tc>
          <w:tcPr/>
          <w:p>
            <w:pPr>
              <w:pStyle w:val="Compact"/>
              <w:jc w:val="right"/>
            </w:pPr>
            <w:r>
              <w:t xml:space="preserve">0.0842</w:t>
            </w:r>
          </w:p>
        </w:tc>
        <w:tc>
          <w:tcPr/>
          <w:p>
            <w:pPr>
              <w:pStyle w:val="Compact"/>
              <w:jc w:val="right"/>
            </w:pPr>
            <w:r>
              <w:t xml:space="preserve">0.0886</w:t>
            </w:r>
          </w:p>
        </w:tc>
        <w:tc>
          <w:tcPr/>
          <w:p>
            <w:pPr>
              <w:pStyle w:val="Compact"/>
              <w:jc w:val="right"/>
            </w:pPr>
            <w:r>
              <w:t xml:space="preserve">0.8177</w:t>
            </w:r>
          </w:p>
        </w:tc>
        <w:tc>
          <w:tcPr/>
          <w:p>
            <w:pPr>
              <w:pStyle w:val="Compact"/>
              <w:jc w:val="right"/>
            </w:pPr>
            <w:r>
              <w:t xml:space="preserve">0.1079</w:t>
            </w:r>
          </w:p>
        </w:tc>
        <w:tc>
          <w:tcPr/>
          <w:p>
            <w:pPr>
              <w:pStyle w:val="Compact"/>
              <w:jc w:val="right"/>
            </w:pPr>
            <w:r>
              <w:t xml:space="preserve">0.0486</w:t>
            </w:r>
          </w:p>
        </w:tc>
      </w:tr>
    </w:tbl>
    <w:p>
      <w:pPr>
        <w:pStyle w:val="BodyText"/>
      </w:pPr>
      <w:r>
        <w:t xml:space="preserve">Los índices clásicos fueron mucho más débiles que cualquiera de los modelos aprendidos. El FWI alcanzó ROC-AUC 0.498 en 2024 y 0.520 en 2025; el INPE, 0.466 y 0.464. Su PR-AUC fue 0.084–0.096, por debajo de 0.17–0.19 de M2/M3, y su F0.5 fue 0.10–0.11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w:t>
      </w:r>
    </w:p>
    <w:tbl>
      <w:tblPr>
        <w:tblStyle w:val="Table"/>
        <w:tblW w:type="pct" w:w="5000"/>
        <w:tblLayout w:type="fixed"/>
        <w:tblLook w:firstRow="0" w:lastRow="0" w:firstColumn="0" w:lastColumn="0" w:noHBand="0" w:noVBand="0" w:val="0000"/>
      </w:tblPr>
      <w:tblGrid>
        <w:gridCol w:w="7920"/>
      </w:tblGrid>
      <w:tr>
        <w:tc>
          <w:tcPr/>
          <w:bookmarkStart w:id="67" w:name="fig-supp10-es"/>
          <w:p>
            <w:pPr>
              <w:pStyle w:val="Compact"/>
              <w:jc w:val="center"/>
            </w:pPr>
            <w:r>
              <w:drawing>
                <wp:inline>
                  <wp:extent cx="5334000" cy="4673286"/>
                  <wp:effectExtent b="0" l="0" r="0" t="0"/>
                  <wp:docPr descr=""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5334000" cy="4673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7"/>
        </w:tc>
      </w:tr>
    </w:tbl>
    <w:bookmarkEnd w:id="68"/>
    <w:bookmarkEnd w:id="69"/>
    <w:bookmarkStart w:id="70"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70"/>
    <w:bookmarkStart w:id="71"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1"/>
    <w:bookmarkStart w:id="86" w:name="referencias"/>
    <w:p>
      <w:pPr>
        <w:pStyle w:val="Heading1"/>
      </w:pPr>
      <w:r>
        <w:t xml:space="preserve">Referencias</w:t>
      </w:r>
    </w:p>
    <w:bookmarkStart w:id="85" w:name="refs"/>
    <w:bookmarkStart w:id="7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2"/>
    <w:bookmarkStart w:id="7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73">
        <w:r>
          <w:rPr>
            <w:rStyle w:val="Hyperlink"/>
          </w:rPr>
          <w:t xml:space="preserve">https://chaco.mapbiomas.org/</w:t>
        </w:r>
      </w:hyperlink>
      <w:r>
        <w:t xml:space="preserve">.</w:t>
      </w:r>
    </w:p>
    <w:bookmarkEnd w:id="74"/>
    <w:bookmarkStart w:id="7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77">
        <w:r>
          <w:rPr>
            <w:rStyle w:val="Hyperlink"/>
          </w:rPr>
          <w:t xml:space="preserve">https://firms.modaps.eosdis.nasa.gov/</w:t>
        </w:r>
      </w:hyperlink>
      <w:r>
        <w:t xml:space="preserve">.</w:t>
      </w:r>
    </w:p>
    <w:bookmarkEnd w:id="78"/>
    <w:bookmarkStart w:id="7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9"/>
    <w:bookmarkStart w:id="8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2">
        <w:r>
          <w:rPr>
            <w:rStyle w:val="Hyperlink"/>
          </w:rPr>
          <w:t xml:space="preserve">http://queimadas.dgi.inpe.br</w:t>
        </w:r>
      </w:hyperlink>
    </w:p>
    <w:bookmarkEnd w:id="83"/>
    <w:bookmarkStart w:id="8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2026-10-28T23:59:48Z</dcterms:created>
  <dcterms:modified xsi:type="dcterms:W3CDTF">2026-10-28T23:59:48Z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