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S1–S5, Tables S1–S34c and Figures S1–S10.</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v2.1.0).</w:t>
      </w:r>
      <w:r>
        <w:br/>
      </w:r>
      <w:r>
        <w:rPr>
          <w:b/>
          <w:bCs/>
        </w:rPr>
        <w:t xml:space="preserve">Data:</w:t>
      </w:r>
      <w:r>
        <w:t xml:space="preserve"> </w:t>
      </w:r>
      <w:r>
        <w:t xml:space="preserve">processed data and test predictions are available in the v2.1.0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S1–S34c:</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 external spatial validation in Boquerón and an exploratory cross-country validation in Formosa and its classic FWI/INPE benchmark.</w:t>
      </w:r>
    </w:p>
    <w:p>
      <w:pPr>
        <w:pStyle w:val="BodyText"/>
      </w:pPr>
      <w:r>
        <w:t xml:space="preserve">•</w:t>
      </w:r>
      <w:r>
        <w:t xml:space="preserve"> </w:t>
      </w:r>
      <w:r>
        <w:rPr>
          <w:b/>
          <w:bCs/>
        </w:rPr>
        <w:t xml:space="preserve">Figures S1–S10:</w:t>
      </w:r>
      <w:r>
        <w:t xml:space="preserve"> </w:t>
      </w:r>
      <w:r>
        <w:t xml:space="preserve">SHAP, ablation, cost-loss, net benefit, rolling-origin, threshold sensitivity, permutation importance, external validation, alert-budget precision and the Formosa cross-country ROC/PR curves.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15"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5"/>
    <w:bookmarkStart w:id="26"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20" w:name="s4.1-canadian-fire-weather-index"/>
    <w:p>
      <w:pPr>
        <w:pStyle w:val="Heading2"/>
      </w:pPr>
      <w:r>
        <w:t xml:space="preserve">S4.1 Canadian Fire Weather Index</w:t>
      </w:r>
    </w:p>
    <w:bookmarkStart w:id="16"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6"/>
    <w:bookmarkStart w:id="17"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w:t>
      </w:r>
      <m:oMath>
        <m:sSup>
          <m:e>
            <m:r>
              <m:t>​</m:t>
            </m:r>
          </m:e>
          <m:sup>
            <m:r>
              <m:rPr>
                <m:sty m:val="p"/>
              </m:rPr>
              <m:t>−</m:t>
            </m:r>
            <m:r>
              <m:t>1</m:t>
            </m:r>
          </m:sup>
        </m:sSup>
      </m:oMath>
      <w:r>
        <w:t xml:space="preserve">)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BUI is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otherwise.</m:t>
                    </m:r>
                  </m:e>
                </m:mr>
              </m:m>
            </m:e>
          </m:d>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vapour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8"/>
    <w:bookmarkStart w:id="19"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9"/>
    <w:bookmarkEnd w:id="20"/>
    <w:bookmarkStart w:id="24"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21"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21"/>
    <w:bookmarkStart w:id="22"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22"/>
    <w:bookmarkStart w:id="23"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3"/>
    <w:bookmarkEnd w:id="24"/>
    <w:bookmarkStart w:id="25"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5"/>
    <w:bookmarkEnd w:id="26"/>
    <w:bookmarkStart w:id="69"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7"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7"/>
    <w:bookmarkStart w:id="28"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8"/>
    <w:bookmarkStart w:id="29"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9"/>
    <w:bookmarkStart w:id="30"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30"/>
    <w:bookmarkStart w:id="31"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31"/>
    <w:bookmarkStart w:id="32"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32"/>
    <w:bookmarkStart w:id="33"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3"/>
    <w:bookmarkStart w:id="34" w:name="s5.8-viirs-label-quality-variants"/>
    <w:p>
      <w:pPr>
        <w:pStyle w:val="Heading2"/>
      </w:pPr>
      <w:r>
        <w:t xml:space="preserve">S5.8 VIIRS label-quality variants</w:t>
      </w:r>
    </w:p>
    <w:p>
      <w:pPr>
        <w:pStyle w:val="FirstParagraph"/>
      </w:pPr>
      <w:r>
        <w:t xml:space="preserve">The raw FIRMS archive (2018–2025) was filtered to vegetation fires with scan ≤ 1.5 km and non-low confidence.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4"/>
    <w:bookmarkStart w:id="6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favour the augmented model.</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(0.3029/2.1509 and 0.8963/0.0750,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6949440" cy="5460274"/>
            <wp:effectExtent b="0" l="0" r="0" t="0"/>
            <wp:docPr descr="Figure S2. Controlled ablation under the D2 test. The figure complements Table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8252460" cy="6349599"/>
            <wp:effectExtent b="0" l="0" r="0" t="0"/>
            <wp:docPr descr="Figure S6. Validation precision, recall, F0.5, F1 and F2 versus cutoff for M3 ignition and the propagation model, by region. Vertical lines mark the F0.5, F1, F2 and Youden cutoffs; test metrics at those cutoffs are in Table S14 (continued)."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8252460" cy="634959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se net benefit and then frozen for the test. The y-axis is clipped at −20; the alert-all reference falls below it at high p_t."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maximise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favour the fixed version. Both versions remain far below M3 (ROC-AUC 0.8021/0.7534; Table 4). In the test sample, local A averages 2.89 in Chaco and 3.71 in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8252460" cy="3409532"/>
            <wp:effectExtent b="0" l="0" r="0" t="0"/>
            <wp:docPr descr="Figure S5. Rolling-origin ROC-AUC by test year for M1, M2 and M3. Numbers next to M3 are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applies the prevalence correction.</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0.5173</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0.5105</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0.5140</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0.5096</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0.5564</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0.5457</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0.5444</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0.5342</w:t>
            </w:r>
          </w:p>
        </w:tc>
        <w:tc>
          <w:tcPr/>
          <w:p>
            <w:pPr>
              <w:pStyle w:val="Compact"/>
              <w:jc w:val="right"/>
            </w:pPr>
            <w: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8252460" cy="3706527"/>
            <wp:effectExtent b="0" l="0" r="0" t="0"/>
            <wp:docPr descr="Figure S7. Permutation importance of the M3 features on the retrospective test (mean ΔROC after shuffling, three repeats), by regio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(66,845 rows; 5,038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3,322</w:t>
            </w:r>
          </w:p>
        </w:tc>
        <w:tc>
          <w:tcPr/>
          <w:p>
            <w:pPr>
              <w:pStyle w:val="Compact"/>
              <w:jc w:val="right"/>
            </w:pPr>
            <w:r>
              <w:t xml:space="preserve">+0.0016 (0.254)</w:t>
            </w:r>
          </w:p>
        </w:tc>
      </w:tr>
      <w:tr>
        <w:tc>
          <w:tcPr/>
          <w:p>
            <w:pPr>
              <w:pStyle w:val="Compact"/>
            </w:pPr>
            <w:r>
              <w:t xml:space="preserve">FWI</w:t>
            </w:r>
          </w:p>
        </w:tc>
        <w:tc>
          <w:tcPr/>
          <w:p>
            <w:pPr>
              <w:pStyle w:val="Compact"/>
            </w:pPr>
            <w:r>
              <w:t xml:space="preserve">0.4719 [0.457–0.488]</w:t>
            </w:r>
          </w:p>
        </w:tc>
        <w:tc>
          <w:tcPr/>
          <w:p>
            <w:pPr>
              <w:pStyle w:val="Compact"/>
              <w:jc w:val="right"/>
            </w:pPr>
            <w:r>
              <w:t xml:space="preserve">0.0685</w:t>
            </w:r>
          </w:p>
        </w:tc>
        <w:tc>
          <w:tcPr/>
          <w:p>
            <w:pPr>
              <w:pStyle w:val="Compact"/>
              <w:jc w:val="right"/>
            </w:pPr>
            <w:r>
              <w:t xml:space="preserve">—</w:t>
            </w:r>
          </w:p>
        </w:tc>
        <w:tc>
          <w:tcPr/>
          <w:p>
            <w:pPr>
              <w:pStyle w:val="Compact"/>
              <w:jc w:val="right"/>
            </w:pPr>
            <w:r>
              <w:t xml:space="preserve">—</w:t>
            </w:r>
          </w:p>
        </w:tc>
        <w:tc>
          <w:tcPr/>
          <w:p>
            <w:pPr>
              <w:pStyle w:val="Compact"/>
              <w:jc w:val="right"/>
            </w:pPr>
            <w:r>
              <w:t xml:space="preserve">3.2369</w:t>
            </w:r>
          </w:p>
        </w:tc>
        <w:tc>
          <w:tcPr/>
          <w:p>
            <w:pPr>
              <w:pStyle w:val="Compact"/>
              <w:jc w:val="right"/>
            </w:pPr>
            <w:r>
              <w:t xml:space="preserve">0.0679</w:t>
            </w:r>
          </w:p>
        </w:tc>
        <w:tc>
          <w:tcPr/>
          <w:p>
            <w:pPr>
              <w:pStyle w:val="Compact"/>
              <w:jc w:val="right"/>
            </w:pPr>
            <w:r>
              <w:t xml:space="preserve">0.4043</w:t>
            </w:r>
          </w:p>
        </w:tc>
        <w:tc>
          <w:tcPr/>
          <w:p>
            <w:pPr>
              <w:pStyle w:val="Compact"/>
              <w:jc w:val="right"/>
            </w:pPr>
            <w:r>
              <w:t xml:space="preserve">0.0814</w:t>
            </w:r>
          </w:p>
        </w:tc>
        <w:tc>
          <w:tcPr/>
          <w:p>
            <w:pPr>
              <w:pStyle w:val="Compact"/>
              <w:jc w:val="right"/>
            </w:pPr>
            <w:r>
              <w:t xml:space="preserve">0.000153</w:t>
            </w:r>
          </w:p>
        </w:tc>
        <w:tc>
          <w:tcPr/>
          <w:p>
            <w:pPr>
              <w:pStyle w:val="Compact"/>
              <w:jc w:val="right"/>
            </w:pPr>
            <w:r>
              <w:t xml:space="preserve">0.4043</w:t>
            </w:r>
          </w:p>
        </w:tc>
        <w:tc>
          <w:tcPr/>
          <w:p>
            <w:pPr>
              <w:pStyle w:val="Compact"/>
              <w:jc w:val="right"/>
            </w:pPr>
            <w:r>
              <w:t xml:space="preserve">27,976</w:t>
            </w:r>
          </w:p>
        </w:tc>
        <w:tc>
          <w:tcPr/>
          <w:p>
            <w:pPr>
              <w:pStyle w:val="Compact"/>
              <w:jc w:val="right"/>
            </w:pPr>
            <w:r>
              <w:t xml:space="preserve">—</w:t>
            </w:r>
          </w:p>
        </w:tc>
      </w:tr>
      <w:tr>
        <w:tc>
          <w:tcPr/>
          <w:p>
            <w:pPr>
              <w:pStyle w:val="Compact"/>
            </w:pPr>
            <w:r>
              <w:t xml:space="preserve">INPE</w:t>
            </w:r>
          </w:p>
        </w:tc>
        <w:tc>
          <w:tcPr/>
          <w:p>
            <w:pPr>
              <w:pStyle w:val="Compact"/>
            </w:pPr>
            <w:r>
              <w:t xml:space="preserve">0.5845 [0.570–0.600]</w:t>
            </w:r>
          </w:p>
        </w:tc>
        <w:tc>
          <w:tcPr/>
          <w:p>
            <w:pPr>
              <w:pStyle w:val="Compact"/>
              <w:jc w:val="right"/>
            </w:pPr>
            <w:r>
              <w:t xml:space="preserve">0.1006</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0.8896</w:t>
            </w:r>
          </w:p>
        </w:tc>
        <w:tc>
          <w:tcPr/>
          <w:p>
            <w:pPr>
              <w:pStyle w:val="Compact"/>
              <w:jc w:val="right"/>
            </w:pPr>
            <w:r>
              <w:t xml:space="preserve">0.0960</w:t>
            </w:r>
          </w:p>
        </w:tc>
        <w:tc>
          <w:tcPr/>
          <w:p>
            <w:pPr>
              <w:pStyle w:val="Compact"/>
              <w:jc w:val="right"/>
            </w:pPr>
            <w:r>
              <w:t xml:space="preserve">0.000131</w:t>
            </w:r>
          </w:p>
        </w:tc>
        <w:tc>
          <w:tcPr/>
          <w:p>
            <w:pPr>
              <w:pStyle w:val="Compact"/>
              <w:jc w:val="right"/>
            </w:pPr>
            <w:r>
              <w:t xml:space="preserve">0.8896</w:t>
            </w:r>
          </w:p>
        </w:tc>
        <w:tc>
          <w:tcPr/>
          <w:p>
            <w:pPr>
              <w:pStyle w:val="Compact"/>
              <w:jc w:val="right"/>
            </w:pPr>
            <w:r>
              <w:t xml:space="preserve">52,596</w:t>
            </w:r>
          </w:p>
        </w:tc>
        <w:tc>
          <w:tcPr/>
          <w:p>
            <w:pPr>
              <w:pStyle w:val="Compact"/>
              <w:jc w:val="right"/>
            </w:pPr>
            <w: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7818120" cy="3227277"/>
            <wp:effectExtent b="0" l="0" r="0" t="0"/>
            <wp:docPr descr="Figure S9. External validation in Boquerón: ROC and precision–recall curves for M2, M3, FWI and INPE o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7818120" cy="3227277"/>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bookmarkEnd w:id="62"/>
    <w:bookmarkStart w:id="6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(66,845 sampled rows; 5,038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63"/>
    <w:bookmarkStart w:id="68" w:name="Xbe6ec37e99256fb054b12d002fbc1dfadba7104"/>
    <w:p>
      <w:pPr>
        <w:pStyle w:val="Heading2"/>
      </w:pPr>
      <w:r>
        <w:t xml:space="preserve">S5.11 Cross-country validation in Formosa (G0)</w:t>
      </w:r>
    </w:p>
    <w:p>
      <w:pPr>
        <w:pStyle w:val="FirstParagraph"/>
      </w:pPr>
      <w:r>
        <w:t xml:space="preserve">G0-Formosa was designed as a pre-registered, conditional cross-country test of the frozen M2/M3-Chaco system. The domain contains 75,236 cells of 1 km² (75,229 km²). The case-control test has 68,959 rows and 6,269 positive D2 ignition cell-days (2024: 3,429; 2025: 2,840); the 1:10 sampling matches the Paraguay design. M2/M3 boosters were frozen for G0-Z, and G0-C recalibrated Platt scaling and the F0.5 cutoff on Formosa 2023 only. G0-R retrained both models on Paraguay plus Formosa 2018–2022 and evaluated 2024–2025.</w:t>
      </w:r>
    </w:p>
    <w:p>
      <w:pPr>
        <w:pStyle w:val="BodyText"/>
      </w:pPr>
      <w:r>
        <w:t xml:space="preserve">The primary soil/land-cover harmonization (H-A) maps MapBiomas Argentina classes 3/4/6 to</w:t>
      </w:r>
      <w:r>
        <w:t xml:space="preserve"> </w:t>
      </w:r>
      <w:r>
        <w:rPr>
          <w:rStyle w:val="VerbatimChar"/>
        </w:rPr>
        <w:t xml:space="preserve">pct_bosque_seco</w:t>
      </w:r>
      <w:r>
        <w:t xml:space="preserve">, 9 to plantation, 11/73 to wetland, 10/12/63/66/77 to savanna, 15 to pasture, 18/19/36 to agriculture and 22/24/25/26/33/34 to non-combustible. Class 6 (flooded forest) is 22.3 % of the area and 42.9 % of VIIRS detections. H-B (class 6 → wetland) and H-C (mask cells with ≥50 % class 6) are sensitivities. The crosswalk is archived in</w:t>
      </w:r>
      <w:r>
        <w:t xml:space="preserve"> </w:t>
      </w:r>
      <w:r>
        <w:rPr>
          <w:rStyle w:val="VerbatimChar"/>
        </w:rPr>
        <w:t xml:space="preserve">auditoria/G0/crosswalk_mapbiomas_argentina.csv</w:t>
      </w:r>
      <w:r>
        <w:t xml:space="preserve">.</w:t>
      </w:r>
    </w:p>
    <w:p>
      <w:pPr>
        <w:pStyle w:val="BodyText"/>
      </w:pPr>
      <w:r>
        <w:t xml:space="preserve">In 2024, M2/M3 reached ROC-AUC 0.7133/0.7245 and PR-AUC 0.1839/0.1943; the paired M3−M2 ΔROC was +0.0112 (95 % CI +0.0065–+0.0155). In 2025, M2/M3 reached 0.7050/0.7112 and 0.1735/0.1716, with ΔROC +0.0062 (95 % CI −0.0001–+0.0129). G0-C reduced ECE to 0.0078–0.0153, but the local cutoff lowered M3’s F0.5 in 2025. Neither arm reached the pre-registered transport threshold of ROC-AUC &gt; 0.75. G0-R improved M3 ROC-AUC only to 0.7275/0.7150 and did not remove the 2025 uncertainty. H-B was essentially unchanged (M3 0.7256/0.7127); H-C raised M3 to 0.7616/0.7357 but removed 22 % of the area, 43 % of detections and 32.5 % of positive cell-days. These results therefore indicate limited, conditional transport, not a successful cross-country replication or a demonstration that M3 is superior to M2.</w:t>
      </w:r>
    </w:p>
    <w:p>
      <w:pPr>
        <w:pStyle w:val="BodyText"/>
      </w:pPr>
      <w:r>
        <w:t xml:space="preserve">Two limitations bound the run. First, 19 of 44 M3 features exceed PSI &gt; 0.2 or KS &gt; 0.1 between Formosa and Paraguay-Chaco; the largest shifts are pasture fraction (PSI 1.18), pasture-burning pressure (1.03), forest–agriculture edge (0.51), ecotone index (0.47), minimum temperature (0.25) and 25-km historical density (0.24). Formosa has almost no pasture (median 0 %), whereas the Paraguay-Chaco training distribution is pasture-rich. Second, Open-Meteo was quota-limited during the run, so the climate used CDS precipitation and Hargreaves ET0 rather than the Open-Meteo correction used in Paraguay; this source difference is a sensitivity still to be repeated. An aggregate cross-check against MapBiomas Chaco C5 2023 showed a maximum class-share difference of 5.2 pp (class 6: +4.7 pp), but a pixel-level kappa was not possible because C5 is only available as a Google Earth Engine asset in this environment. A 60-point visual pilot agreed in 53/60 cases (88.3 %); the full 300-point audit remains pending. These results should therefore be read as an exploratory stress test, not as a certified external validation.</w:t>
      </w:r>
    </w:p>
    <w:p>
      <w:pPr>
        <w:pStyle w:val="BodyText"/>
      </w:pPr>
      <w:r>
        <w:rPr>
          <w:b/>
          <w:bCs/>
        </w:rPr>
        <w:t xml:space="preserve">Table S34.</w:t>
      </w:r>
      <w:r>
        <w:t xml:space="preserve"> </w:t>
      </w:r>
      <w:r>
        <w:t xml:space="preserve">G0-C external validation in Formosa (case-control, 1:10). M2/M3 are frozen Chaco boosters with Platt recalibration and cutoff selected on Formosa 2023. ΔROC is M3−M2 with a paired date-block bootstrap (1,000 replicates). Population precision is not reported because no approved Formosa population denominator was available.</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(95 % CI;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Table S34b.</w:t>
      </w:r>
      <w:r>
        <w:t xml:space="preserve"> </w:t>
      </w:r>
      <w:r>
        <w:t xml:space="preserve">G0 arms and mandatory sensitivities. ROC-AUC is shown as M2/M3. H-C is not comparable to the primary result because it removes 22 % of the area, 43 % of detections and 32.5 % of positive cell-days. Buffer sensitivity varies the t−1 fire buffer used by the D2 sampling plan.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Arm / variant</w:t>
            </w:r>
          </w:p>
        </w:tc>
        <w:tc>
          <w:tcPr/>
          <w:p>
            <w:pPr>
              <w:pStyle w:val="Compact"/>
              <w:jc w:val="right"/>
            </w:pPr>
            <w:r>
              <w:t xml:space="preserve">2024 M2 / M3 ROC</w:t>
            </w:r>
          </w:p>
        </w:tc>
        <w:tc>
          <w:tcPr/>
          <w:p>
            <w:pPr>
              <w:pStyle w:val="Compact"/>
              <w:jc w:val="right"/>
            </w:pPr>
            <w:r>
              <w:t xml:space="preserve">2025 M2 / M3 ROC</w:t>
            </w:r>
          </w:p>
        </w:tc>
        <w:tc>
          <w:tcPr/>
          <w:p>
            <w:pPr>
              <w:pStyle w:val="Compact"/>
            </w:pPr>
            <w:r>
              <w:t xml:space="preserve">Note</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frozen</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local recalibration</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PY+Formosa retrain</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sensitivity</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removes 22 % area, 43 % detections, 33 % positives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Table S34c.</w:t>
      </w:r>
      <w:r>
        <w:t xml:space="preserve"> </w:t>
      </w:r>
      <w:r>
        <w:t xml:space="preserve">Classic benchmarks in Formosa (case-control, 1:10). The Canadian FWI and the INPE Fire Risk were computed from the same Formosa ERA5-Land climate and H-A fuel fractions. Their cutoffs were selected on Formosa 2023 by maximizing F0.5 and frozen for 2024–2025, exactly as for G0-C. They are indices, not calibrated probabilities, so Brier and ECE are not reported. The M2/M3 rows are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Cutoff</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0.4984</w:t>
            </w:r>
          </w:p>
        </w:tc>
        <w:tc>
          <w:tcPr/>
          <w:p>
            <w:pPr>
              <w:pStyle w:val="Compact"/>
              <w:jc w:val="right"/>
            </w:pPr>
            <w:r>
              <w:t xml:space="preserve">0.0926</w:t>
            </w:r>
          </w:p>
        </w:tc>
        <w:tc>
          <w:tcPr/>
          <w:p>
            <w:pPr>
              <w:pStyle w:val="Compact"/>
              <w:jc w:val="right"/>
            </w:pPr>
            <w:r>
              <w:t xml:space="preserve">0.0988</w:t>
            </w:r>
          </w:p>
        </w:tc>
        <w:tc>
          <w:tcPr/>
          <w:p>
            <w:pPr>
              <w:pStyle w:val="Compact"/>
              <w:jc w:val="right"/>
            </w:pPr>
            <w:r>
              <w:t xml:space="preserve">0.1519</w:t>
            </w:r>
          </w:p>
        </w:tc>
        <w:tc>
          <w:tcPr/>
          <w:p>
            <w:pPr>
              <w:pStyle w:val="Compact"/>
              <w:jc w:val="right"/>
            </w:pPr>
            <w:r>
              <w:t xml:space="preserve">0.1062</w:t>
            </w:r>
          </w:p>
        </w:tc>
        <w:tc>
          <w:tcPr/>
          <w:p>
            <w:pPr>
              <w:pStyle w:val="Compact"/>
              <w:jc w:val="right"/>
            </w:pPr>
            <w:r>
              <w:t xml:space="preserve">6.5303</w:t>
            </w:r>
          </w:p>
        </w:tc>
      </w:tr>
      <w:tr>
        <w:tc>
          <w:tcPr/>
          <w:p>
            <w:pPr>
              <w:pStyle w:val="Compact"/>
            </w:pPr>
            <w:r>
              <w:t xml:space="preserve">2025</w:t>
            </w:r>
          </w:p>
        </w:tc>
        <w:tc>
          <w:tcPr/>
          <w:p>
            <w:pPr>
              <w:pStyle w:val="Compact"/>
            </w:pPr>
            <w:r>
              <w:t xml:space="preserve">FWI</w:t>
            </w:r>
          </w:p>
        </w:tc>
        <w:tc>
          <w:tcPr/>
          <w:p>
            <w:pPr>
              <w:pStyle w:val="Compact"/>
              <w:jc w:val="right"/>
            </w:pPr>
            <w:r>
              <w:t xml:space="preserve">0.5197</w:t>
            </w:r>
          </w:p>
        </w:tc>
        <w:tc>
          <w:tcPr/>
          <w:p>
            <w:pPr>
              <w:pStyle w:val="Compact"/>
              <w:jc w:val="right"/>
            </w:pPr>
            <w:r>
              <w:t xml:space="preserve">0.0957</w:t>
            </w:r>
          </w:p>
        </w:tc>
        <w:tc>
          <w:tcPr/>
          <w:p>
            <w:pPr>
              <w:pStyle w:val="Compact"/>
              <w:jc w:val="right"/>
            </w:pPr>
            <w:r>
              <w:t xml:space="preserve">0.1005</w:t>
            </w:r>
          </w:p>
        </w:tc>
        <w:tc>
          <w:tcPr/>
          <w:p>
            <w:pPr>
              <w:pStyle w:val="Compact"/>
              <w:jc w:val="right"/>
            </w:pPr>
            <w:r>
              <w:t xml:space="preserve">0.1056</w:t>
            </w:r>
          </w:p>
        </w:tc>
        <w:tc>
          <w:tcPr/>
          <w:p>
            <w:pPr>
              <w:pStyle w:val="Compact"/>
              <w:jc w:val="right"/>
            </w:pPr>
            <w:r>
              <w:t xml:space="preserve">0.1015</w:t>
            </w:r>
          </w:p>
        </w:tc>
        <w:tc>
          <w:tcPr/>
          <w:p>
            <w:pPr>
              <w:pStyle w:val="Compact"/>
              <w:jc w:val="right"/>
            </w:pPr>
            <w:r>
              <w:t xml:space="preserve">6.5303</w:t>
            </w:r>
          </w:p>
        </w:tc>
      </w:tr>
      <w:tr>
        <w:tc>
          <w:tcPr/>
          <w:p>
            <w:pPr>
              <w:pStyle w:val="Compact"/>
            </w:pPr>
            <w:r>
              <w:t xml:space="preserve">pooled</w:t>
            </w:r>
          </w:p>
        </w:tc>
        <w:tc>
          <w:tcPr/>
          <w:p>
            <w:pPr>
              <w:pStyle w:val="Compact"/>
            </w:pPr>
            <w:r>
              <w:t xml:space="preserve">FWI</w:t>
            </w:r>
          </w:p>
        </w:tc>
        <w:tc>
          <w:tcPr/>
          <w:p>
            <w:pPr>
              <w:pStyle w:val="Compact"/>
              <w:jc w:val="right"/>
            </w:pPr>
            <w:r>
              <w:t xml:space="preserve">0.5079</w:t>
            </w:r>
          </w:p>
        </w:tc>
        <w:tc>
          <w:tcPr/>
          <w:p>
            <w:pPr>
              <w:pStyle w:val="Compact"/>
              <w:jc w:val="right"/>
            </w:pPr>
            <w:r>
              <w:t xml:space="preserve">0.0937</w:t>
            </w:r>
          </w:p>
        </w:tc>
        <w:tc>
          <w:tcPr/>
          <w:p>
            <w:pPr>
              <w:pStyle w:val="Compact"/>
              <w:jc w:val="right"/>
            </w:pPr>
            <w:r>
              <w:t xml:space="preserve">0.0994</w:t>
            </w:r>
          </w:p>
        </w:tc>
        <w:tc>
          <w:tcPr/>
          <w:p>
            <w:pPr>
              <w:pStyle w:val="Compact"/>
              <w:jc w:val="right"/>
            </w:pPr>
            <w:r>
              <w:t xml:space="preserve">0.1310</w:t>
            </w:r>
          </w:p>
        </w:tc>
        <w:tc>
          <w:tcPr/>
          <w:p>
            <w:pPr>
              <w:pStyle w:val="Compact"/>
              <w:jc w:val="right"/>
            </w:pPr>
            <w:r>
              <w:t xml:space="preserve">0.1044</w:t>
            </w:r>
          </w:p>
        </w:tc>
        <w:tc>
          <w:tcPr/>
          <w:p>
            <w:pPr>
              <w:pStyle w:val="Compact"/>
              <w:jc w:val="right"/>
            </w:pPr>
            <w:r>
              <w:t xml:space="preserve">6.5303</w:t>
            </w:r>
          </w:p>
        </w:tc>
      </w:tr>
      <w:tr>
        <w:tc>
          <w:tcPr/>
          <w:p>
            <w:pPr>
              <w:pStyle w:val="Compact"/>
            </w:pPr>
            <w:r>
              <w:t xml:space="preserve">2024</w:t>
            </w:r>
          </w:p>
        </w:tc>
        <w:tc>
          <w:tcPr/>
          <w:p>
            <w:pPr>
              <w:pStyle w:val="Compact"/>
            </w:pPr>
            <w:r>
              <w:t xml:space="preserve">INPE</w:t>
            </w:r>
          </w:p>
        </w:tc>
        <w:tc>
          <w:tcPr/>
          <w:p>
            <w:pPr>
              <w:pStyle w:val="Compact"/>
              <w:jc w:val="right"/>
            </w:pPr>
            <w:r>
              <w:t xml:space="preserve">0.4658</w:t>
            </w:r>
          </w:p>
        </w:tc>
        <w:tc>
          <w:tcPr/>
          <w:p>
            <w:pPr>
              <w:pStyle w:val="Compact"/>
              <w:jc w:val="right"/>
            </w:pPr>
            <w:r>
              <w:t xml:space="preserve">0.0838</w:t>
            </w:r>
          </w:p>
        </w:tc>
        <w:tc>
          <w:tcPr/>
          <w:p>
            <w:pPr>
              <w:pStyle w:val="Compact"/>
              <w:jc w:val="right"/>
            </w:pPr>
            <w:r>
              <w:t xml:space="preserve">0.0883</w:t>
            </w:r>
          </w:p>
        </w:tc>
        <w:tc>
          <w:tcPr/>
          <w:p>
            <w:pPr>
              <w:pStyle w:val="Compact"/>
              <w:jc w:val="right"/>
            </w:pPr>
            <w:r>
              <w:t xml:space="preserve">0.8454</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0.4644</w:t>
            </w:r>
          </w:p>
        </w:tc>
        <w:tc>
          <w:tcPr/>
          <w:p>
            <w:pPr>
              <w:pStyle w:val="Compact"/>
              <w:jc w:val="right"/>
            </w:pPr>
            <w:r>
              <w:t xml:space="preserve">0.0844</w:t>
            </w:r>
          </w:p>
        </w:tc>
        <w:tc>
          <w:tcPr/>
          <w:p>
            <w:pPr>
              <w:pStyle w:val="Compact"/>
              <w:jc w:val="right"/>
            </w:pPr>
            <w:r>
              <w:t xml:space="preserve">0.0891</w:t>
            </w:r>
          </w:p>
        </w:tc>
        <w:tc>
          <w:tcPr/>
          <w:p>
            <w:pPr>
              <w:pStyle w:val="Compact"/>
              <w:jc w:val="right"/>
            </w:pPr>
            <w:r>
              <w:t xml:space="preserve">0.7842</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0.4656</w:t>
            </w:r>
          </w:p>
        </w:tc>
        <w:tc>
          <w:tcPr/>
          <w:p>
            <w:pPr>
              <w:pStyle w:val="Compact"/>
              <w:jc w:val="right"/>
            </w:pPr>
            <w:r>
              <w:t xml:space="preserve">0.0842</w:t>
            </w:r>
          </w:p>
        </w:tc>
        <w:tc>
          <w:tcPr/>
          <w:p>
            <w:pPr>
              <w:pStyle w:val="Compact"/>
              <w:jc w:val="right"/>
            </w:pPr>
            <w:r>
              <w:t xml:space="preserve">0.0886</w:t>
            </w:r>
          </w:p>
        </w:tc>
        <w:tc>
          <w:tcPr/>
          <w:p>
            <w:pPr>
              <w:pStyle w:val="Compact"/>
              <w:jc w:val="right"/>
            </w:pPr>
            <w:r>
              <w:t xml:space="preserve">0.8177</w:t>
            </w:r>
          </w:p>
        </w:tc>
        <w:tc>
          <w:tcPr/>
          <w:p>
            <w:pPr>
              <w:pStyle w:val="Compact"/>
              <w:jc w:val="right"/>
            </w:pPr>
            <w:r>
              <w:t xml:space="preserve">0.1079</w:t>
            </w:r>
          </w:p>
        </w:tc>
        <w:tc>
          <w:tcPr/>
          <w:p>
            <w:pPr>
              <w:pStyle w:val="Compact"/>
              <w:jc w:val="right"/>
            </w:pPr>
            <w:r>
              <w:t xml:space="preserve">0.0486</w:t>
            </w:r>
          </w:p>
        </w:tc>
      </w:tr>
    </w:tbl>
    <w:p>
      <w:pPr>
        <w:pStyle w:val="BodyText"/>
      </w:pPr>
      <w:r>
        <w:t xml:space="preserve">Classic indices were far weaker than either learned model. FWI reached ROC-AUC 0.498 in 2024 and 0.520 in 2025; INPE reached 0.466 and 0.464. Their PR-AUC was 0.084–0.096, below the 0.17–0.19 of M2/M3, and their F0.5 was 0.10–0.11 versus 0.19–0.21. INPE obtained high recall only by alerting almost everything (precision ≈0.09). Thus M2/M3 clearly outperform the Canadian and Brazilian indices in Formosa, but the learned models still do not reach the 0.75 transport threshold. The classic comparison does not rescue the cross-country claim; it only shows that the trained models remain the best available ranking in this domain.</w:t>
      </w:r>
    </w:p>
    <w:tbl>
      <w:tblPr>
        <w:tblStyle w:val="Table"/>
        <w:tblW w:type="pct" w:w="5000"/>
        <w:tblLayout w:type="fixed"/>
        <w:tblLook w:firstRow="0" w:lastRow="0" w:firstColumn="0" w:lastColumn="0" w:noHBand="0" w:noVBand="0" w:val="0000"/>
      </w:tblPr>
      <w:tblGrid>
        <w:gridCol w:w="7920"/>
      </w:tblGrid>
      <w:tr>
        <w:tc>
          <w:tcPr/>
          <w:bookmarkStart w:id="67" w:name="fig-supp10"/>
          <w:p>
            <w:pPr>
              <w:pStyle w:val="Compact"/>
              <w:jc w:val="center"/>
            </w:pPr>
            <w:r>
              <w:drawing>
                <wp:inline>
                  <wp:extent cx="7431411" cy="6510894"/>
                  <wp:effectExtent b="0" l="0" r="0" t="0"/>
                  <wp:docPr descr="" title="" id="65" name="Picture"/>
                  <a:graphic>
                    <a:graphicData uri="http://schemas.openxmlformats.org/drawingml/2006/picture">
                      <pic:pic>
                        <pic:nvPicPr>
                          <pic:cNvPr descr="../../entregables/figuras/supp_fig10_external_formosa.png" id="66" name="Picture"/>
                          <pic:cNvPicPr>
                            <a:picLocks noChangeArrowheads="1" noChangeAspect="1"/>
                          </pic:cNvPicPr>
                        </pic:nvPicPr>
                        <pic:blipFill>
                          <a:blip r:embed="rId64"/>
                          <a:stretch>
                            <a:fillRect/>
                          </a:stretch>
                        </pic:blipFill>
                        <pic:spPr bwMode="auto">
                          <a:xfrm>
                            <a:off x="0" y="0"/>
                            <a:ext cx="7431411" cy="6510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External cross-country validation in Formosa. ROC and precision–recall curves for G0-C in 2024 (left) and 2025 (right). M2 (blue) and M3 (orange) use frozen Chaco boosters with local Platt recalibration. The test is case-control (1:10), not population-weighted.</w:t>
            </w:r>
          </w:p>
          <w:bookmarkEnd w:id="67"/>
        </w:tc>
      </w:tr>
    </w:tbl>
    <w:bookmarkEnd w:id="68"/>
    <w:bookmarkEnd w:id="69"/>
    <w:bookmarkStart w:id="70" w:name="data-availability"/>
    <w:p>
      <w:pPr>
        <w:pStyle w:val="Heading1"/>
      </w:pPr>
      <w:r>
        <w:t xml:space="preserve">Data availability</w:t>
      </w:r>
    </w:p>
    <w:p>
      <w:pPr>
        <w:pStyle w:val="FirstParagraph"/>
      </w:pPr>
      <w:r>
        <w:t xml:space="preserve">Processed data, test predictions, trained models and derived tables are available in the v2.1.0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70"/>
    <w:bookmarkStart w:id="71"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71"/>
    <w:bookmarkStart w:id="86" w:name="references"/>
    <w:p>
      <w:pPr>
        <w:pStyle w:val="Heading1"/>
      </w:pPr>
      <w:r>
        <w:t xml:space="preserve">References</w:t>
      </w:r>
    </w:p>
    <w:bookmarkStart w:id="85" w:name="refs"/>
    <w:bookmarkStart w:id="72"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2"/>
    <w:bookmarkStart w:id="7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73">
        <w:r>
          <w:rPr>
            <w:rStyle w:val="Hyperlink"/>
          </w:rPr>
          <w:t xml:space="preserve">https://chaco.mapbiomas.org/</w:t>
        </w:r>
      </w:hyperlink>
      <w:r>
        <w:t xml:space="preserve">.</w:t>
      </w:r>
    </w:p>
    <w:bookmarkEnd w:id="74"/>
    <w:bookmarkStart w:id="76"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5">
        <w:r>
          <w:rPr>
            <w:rStyle w:val="Hyperlink"/>
          </w:rPr>
          <w:t xml:space="preserve">https://doi.org/10.5194/essd-13-4349-2021</w:t>
        </w:r>
      </w:hyperlink>
    </w:p>
    <w:bookmarkEnd w:id="76"/>
    <w:bookmarkStart w:id="78"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77">
        <w:r>
          <w:rPr>
            <w:rStyle w:val="Hyperlink"/>
          </w:rPr>
          <w:t xml:space="preserve">https://firms.modaps.eosdis.nasa.gov/</w:t>
        </w:r>
      </w:hyperlink>
      <w:r>
        <w:t xml:space="preserve">.</w:t>
      </w:r>
    </w:p>
    <w:bookmarkEnd w:id="78"/>
    <w:bookmarkStart w:id="79"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9"/>
    <w:bookmarkStart w:id="81"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0">
        <w:r>
          <w:rPr>
            <w:rStyle w:val="Hyperlink"/>
          </w:rPr>
          <w:t xml:space="preserve">https://doi.org/10.1016/j.rse.2013.12.008</w:t>
        </w:r>
      </w:hyperlink>
    </w:p>
    <w:bookmarkEnd w:id="81"/>
    <w:bookmarkStart w:id="83"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2">
        <w:r>
          <w:rPr>
            <w:rStyle w:val="Hyperlink"/>
          </w:rPr>
          <w:t xml:space="preserve">http://queimadas.dgi.inpe.br</w:t>
        </w:r>
      </w:hyperlink>
    </w:p>
    <w:bookmarkEnd w:id="83"/>
    <w:bookmarkStart w:id="8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84"/>
    <w:bookmarkEnd w:id="85"/>
    <w:bookmarkEnd w:id="86"/>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2026-10-28T23:59:42Z</dcterms:created>
  <dcterms:modified xsi:type="dcterms:W3CDTF">2026-10-28T23:59:42Z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