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50.png" ContentType="image/png"/>
  <Override PartName="/word/media/rId68.png" ContentType="image/png"/>
  <Override PartName="/word/media/rId62.png" ContentType="image/png"/>
  <Override PartName="/word/media/rId56.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sustentado en interacciones meteorológicas no lineales, cobertura MapBiomas (30 m), gradientes de ecotono y priors de susceptibilidad espacial histórica sin fuga temporal, gobernado por restricciones monótonas biofísicas;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holgadamente al Canadian FWI (ROC-AUC 0,831 vs. 0,543 en Chaco; 0,711 vs. 0,389 en Oriental) y al INPE Risco de Fogo (0,646 y 0,399), mientras que la capa de propagación alcanza un ROC-AUC de 0,849 y una precisión operativa del 90,16 %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on non-linear meteorological-fuel interactions, ecotone edge gradients, and leakage-free historical spatial susceptibility priors under physics-guided monotonic constraints;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0.831 vs. 0.543 in Chaco; 0.711 vs. 0.389 in Oriental) and INPE’s Risco de Fogo (0.646 and 0.399), while the tactical propagation model achieves a ROC-AUC of 0.849 and 90.16% precision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p>
      <w:pPr>
        <w:pStyle w:val="FirstParagraph"/>
      </w:pPr>
      <w:r>
        <w:t xml:space="preserve">La delimitación geográfica, la división macro-regional entre la Región Occidental (Chaco) y Oriental, y los patrones de cobertura vegetal derivados de MapBiomas se detallan en la</w:t>
      </w:r>
      <w:r>
        <w:t xml:space="preserve"> </w:t>
      </w:r>
      <w:hyperlink w:anchor="fig-area-estudio">
        <w:r>
          <w:rPr>
            <w:rStyle w:val="Hyperlink"/>
          </w:rPr>
          <w:t xml:space="preserve">Figura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y ecológica del área de estudio: Macro-regiones (Chaco semiárido vs. Región Oriental húmeda), partición departamental oficial ADM1 y distribución espacial de las clases de cobertura vegetal MapBiomas agregadas a la grilla de 1 km².</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8" w:name="X5c2edce0d25de16bceded4e02fc5d5e8cb28461"/>
    <w:p>
      <w:pPr>
        <w:pStyle w:val="Heading1"/>
      </w:pPr>
      <w:r>
        <w:t xml:space="preserve">4. 4. Protocolo Experimental Decenal y Benchmarking Internacional</w:t>
      </w:r>
    </w:p>
    <w:bookmarkStart w:id="44"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p>
      <w:pPr>
        <w:pStyle w:val="BlockText"/>
      </w:pPr>
      <w:r>
        <w:t xml:space="preserve">[!NOTE]</w:t>
      </w:r>
      <w:r>
        <w:t xml:space="preserve"> </w:t>
      </w:r>
      <w:r>
        <w:rPr>
          <w:b/>
          <w:bCs/>
        </w:rPr>
        <w:t xml:space="preserve">Protocolo de Reproducibilidad en el Repositorio Abierto:</w:t>
      </w:r>
      <w:r>
        <w:br/>
      </w:r>
      <w:r>
        <w:t xml:space="preserve">En concordancia con las directrices de reproducibilidad de</w:t>
      </w:r>
      <w:r>
        <w:t xml:space="preserve"> </w:t>
      </w:r>
      <w:r>
        <w:rPr>
          <w:i/>
          <w:iCs/>
        </w:rPr>
        <w:t xml:space="preserve">Computers &amp; Geosciences</w:t>
      </w:r>
      <w:r>
        <w:t xml:space="preserve">, el repositorio de código abierto acompaña la metodología completa con un pipeline ejecutable de extremo a extremo (</w:t>
      </w:r>
      <w:hyperlink r:id="rId42">
        <w:r>
          <w:rPr>
            <w:rStyle w:val="VerbatimChar"/>
          </w:rPr>
          <w:t xml:space="preserve">scripts/00_...</w:t>
        </w:r>
      </w:hyperlink>
      <w:r>
        <w:t xml:space="preserve"> </w:t>
      </w:r>
      <w:r>
        <w:t xml:space="preserve">a</w:t>
      </w:r>
      <w:r>
        <w:t xml:space="preserve"> </w:t>
      </w:r>
      <w:hyperlink r:id="rId43">
        <w:r>
          <w:rPr>
            <w:rStyle w:val="VerbatimChar"/>
          </w:rPr>
          <w:t xml:space="preserve">scripts/15_...</w:t>
        </w:r>
      </w:hyperlink>
      <w:r>
        <w:t xml:space="preserve">). Para permitir la clonación y verificación inmediata en cualquier computadora sin descargar terabytes de archivos brutos de NASA Earthdata, los scripts implementan esta idéntica partición cronológica</w:t>
      </w:r>
      <w:r>
        <w:t xml:space="preserve"> </w:t>
      </w:r>
      <w:r>
        <w:rPr>
          <w:i/>
          <w:iCs/>
        </w:rPr>
        <w:t xml:space="preserve">out-of-time</w:t>
      </w:r>
      <w:r>
        <w:t xml:space="preserve"> </w:t>
      </w:r>
      <w:r>
        <w:t xml:space="preserve">secuencial (70 % train, 15 % val, 15 % test congelado) sobre la ventana satelital operativa NRT, verificando empíricamente la estabilidad de todas las invariantes algorítmicas.</w:t>
      </w:r>
    </w:p>
    <w:bookmarkEnd w:id="44"/>
    <w:bookmarkStart w:id="45"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p>
      <w:pPr>
        <w:pStyle w:val="BodyText"/>
      </w:pPr>
      <w:r>
        <w:t xml:space="preserve">Para verificar que este umbral no introduce sesgos arbitrarios, realizamos un análisis de sensibilidad multiescala evaluando radios de exclusión alternativos de</w:t>
      </w:r>
      <w:r>
        <w:t xml:space="preserve"> </w:t>
      </w:r>
      <m:oMath>
        <m:r>
          <m:t>10</m:t>
        </m:r>
        <m:r>
          <m:rPr>
            <m:nor/>
            <m:sty m:val="p"/>
          </m:rPr>
          <m:t> km</m:t>
        </m:r>
      </m:oMath>
      <w:r>
        <w:t xml:space="preserve"> </w:t>
      </w:r>
      <w:r>
        <w:t xml:space="preserve">y</w:t>
      </w:r>
      <w:r>
        <w:t xml:space="preserve"> </w:t>
      </w:r>
      <m:oMath>
        <m:r>
          <m:t>30</m:t>
        </m:r>
        <m:r>
          <m:rPr>
            <m:nor/>
            <m:sty m:val="p"/>
          </m:rPr>
          <m:t> km</m:t>
        </m:r>
      </m:oMath>
      <w:r>
        <w:t xml:space="preserve">. Los resultados confirman una alta estabilidad métrica (el ROC-AUC de ignición varía menos de</w:t>
      </w:r>
      <w:r>
        <w:t xml:space="preserve"> </w:t>
      </w:r>
      <m:oMath>
        <m:r>
          <m:rPr>
            <m:sty m:val="p"/>
          </m:rPr>
          <m:t>±</m:t>
        </m:r>
        <m:r>
          <m:t>0</m:t>
        </m:r>
        <m:r>
          <m:rPr>
            <m:sty m:val="p"/>
          </m:rPr>
          <m:t>,</m:t>
        </m:r>
        <m:r>
          <m:t>012</m:t>
        </m:r>
      </m:oMath>
      <w:r>
        <w:t xml:space="preserve"> </w:t>
      </w:r>
      <w:r>
        <w:t xml:space="preserve">entre ambos extremos, ver Texto Suplementario S3), consolidando a los</w:t>
      </w:r>
      <w:r>
        <w:t xml:space="preserve"> </w:t>
      </w:r>
      <m:oMath>
        <m:r>
          <m:t>20</m:t>
        </m:r>
        <m:r>
          <m:rPr>
            <m:nor/>
            <m:sty m:val="p"/>
          </m:rPr>
          <m:t> km</m:t>
        </m:r>
      </m:oMath>
      <w:r>
        <w:t xml:space="preserve"> </w:t>
      </w:r>
      <w:r>
        <w:t xml:space="preserve">como el compromiso óptimo derivado del alcance empírico del semivariograma (</w:t>
      </w:r>
      <m:oMath>
        <m:r>
          <m:t>a</m:t>
        </m:r>
        <m:r>
          <m:rPr>
            <m:sty m:val="p"/>
          </m:rPr>
          <m:t>=</m:t>
        </m:r>
        <m:r>
          <m:t>18</m:t>
        </m:r>
        <m:r>
          <m:rPr>
            <m:sty m:val="p"/>
          </m:rPr>
          <m:t>,</m:t>
        </m:r>
        <m:r>
          <m:t>4</m:t>
        </m:r>
        <m:r>
          <m:rPr>
            <m:nor/>
            <m:sty m:val="p"/>
          </m:rPr>
          <m:t> km</m:t>
        </m:r>
      </m:oMath>
      <w:r>
        <w:t xml:space="preserve">).</w:t>
      </w:r>
    </w:p>
    <w:bookmarkEnd w:id="45"/>
    <w:bookmarkStart w:id="46"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los sistemas canónicos internacionales y las líneas base metodológicas reportadas en la literatura de incendios forestales</w:t>
      </w:r>
      <w:r>
        <w:t xml:space="preserve"> </w:t>
      </w:r>
      <w:r>
        <w:t xml:space="preserve">(Jain et al., 2020; Rodrigues &amp; Riva, 2014; Sayad et al., 2019)</w:t>
      </w:r>
      <w:r>
        <w:t xml:space="preserve">:</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6"/>
    <w:bookmarkStart w:id="47"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7"/>
    <w:bookmarkEnd w:id="48"/>
    <w:bookmarkStart w:id="73" w:name="X20f4958fcedc9bafa13e2cf47911c5a9e13d390"/>
    <w:p>
      <w:pPr>
        <w:pStyle w:val="Heading1"/>
      </w:pPr>
      <w:r>
        <w:t xml:space="preserve">5. 5. Resultados Empíricos y Explicabilidad Biofísica</w:t>
      </w:r>
    </w:p>
    <w:bookmarkStart w:id="5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9"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 </w:t>
            </w:r>
            <w:r>
              <w:t xml:space="preserve">con intervalos de confianza al 95 % por bootstrap (</w:t>
            </w:r>
            <m:oMath>
              <m:r>
                <m:t>N</m:t>
              </m:r>
              <m:r>
                <m:rPr>
                  <m:sty m:val="p"/>
                </m:rPr>
                <m:t>=</m:t>
              </m:r>
              <m:r>
                <m:t>500</m:t>
              </m:r>
            </m:oMath>
            <w:r>
              <w:t xml:space="preserve">), Expected Calibration Error (</w:t>
            </w:r>
            <m:oMath>
              <m:r>
                <m:t>E</m:t>
              </m:r>
              <m:r>
                <m:t>C</m:t>
              </m:r>
              <m:r>
                <m:t>E</m:t>
              </m:r>
            </m:oMath>
            <w:r>
              <w:t xml:space="preserve">) y punto de corte operativo</w:t>
            </w:r>
            <w:r>
              <w:t xml:space="preserve"> </w:t>
            </w:r>
            <m:oMath>
              <m:sSub>
                <m:e>
                  <m:r>
                    <m:t>F</m:t>
                  </m:r>
                </m:e>
                <m:sub>
                  <m:r>
                    <m:t>0.5</m:t>
                  </m:r>
                </m:sub>
              </m:sSub>
            </m:oMath>
            <w:r>
              <w:t xml:space="preserve">.</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 [IC 95 %]</w:t>
                  </w:r>
                </w:p>
              </w:tc>
              <w:tc>
                <w:tcPr/>
                <w:p>
                  <w:pPr>
                    <w:pStyle w:val="Compact"/>
                    <w:jc w:val="center"/>
                    <w:jc w:val="center"/>
                  </w:pPr>
                  <w:r>
                    <w:t xml:space="preserve">PR-AUC</w:t>
                  </w:r>
                </w:p>
              </w:tc>
              <w:tc>
                <w:tcPr/>
                <w:p>
                  <w:pPr>
                    <w:pStyle w:val="Compact"/>
                    <w:jc w:val="center"/>
                    <w:jc w:val="center"/>
                  </w:pPr>
                  <w:r>
                    <w:t xml:space="preserve">ECE</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8305</m:t>
                    </m:r>
                    <m:r>
                      <m:t> </m:t>
                    </m:r>
                    <m:r>
                      <m:rPr>
                        <m:sty m:val="p"/>
                      </m:rPr>
                      <m:t>[</m:t>
                    </m:r>
                    <m:r>
                      <m:t>0</m:t>
                    </m:r>
                    <m:r>
                      <m:rPr>
                        <m:sty m:val="p"/>
                      </m:rPr>
                      <m:t>,</m:t>
                    </m:r>
                    <m:r>
                      <m:t>788</m:t>
                    </m:r>
                    <m:r>
                      <m:rPr>
                        <m:sty m:val="p"/>
                      </m:rPr>
                      <m:t>−</m:t>
                    </m:r>
                    <m:r>
                      <m:t>0</m:t>
                    </m:r>
                    <m:r>
                      <m:rPr>
                        <m:sty m:val="p"/>
                      </m:rPr>
                      <m:t>,</m:t>
                    </m:r>
                    <m:r>
                      <m:t>871</m:t>
                    </m:r>
                    <m:r>
                      <m:rPr>
                        <m:sty m:val="p"/>
                      </m:rPr>
                      <m:t>]</m:t>
                    </m:r>
                  </m:oMath>
                  <w:r>
                    <w:t xml:space="preserve">​</w:t>
                  </w:r>
                </w:p>
              </w:tc>
              <w:tc>
                <w:tcPr/>
                <w:p>
                  <w:pPr>
                    <w:pStyle w:val="Compact"/>
                    <w:jc w:val="center"/>
                    <w:jc w:val="center"/>
                  </w:pPr>
                  <m:oMath>
                    <m:r>
                      <m:rPr>
                        <m:sty m:val="b"/>
                      </m:rPr>
                      <m:t>0</m:t>
                    </m:r>
                    <m:r>
                      <m:rPr>
                        <m:sty m:val="b"/>
                      </m:rPr>
                      <m:t>,</m:t>
                    </m:r>
                    <m:r>
                      <m:rPr>
                        <m:sty m:val="b"/>
                      </m:rPr>
                      <m:t>5714</m:t>
                    </m:r>
                  </m:oMath>
                  <w:r>
                    <w:t xml:space="preserve">​</w:t>
                  </w:r>
                </w:p>
              </w:tc>
              <w:tc>
                <w:tcPr/>
                <w:p>
                  <w:pPr>
                    <w:pStyle w:val="Compact"/>
                    <w:jc w:val="center"/>
                    <w:jc w:val="center"/>
                  </w:pPr>
                  <m:oMath>
                    <m:r>
                      <m:rPr>
                        <m:sty m:val="b"/>
                      </m:rPr>
                      <m:t>0</m:t>
                    </m:r>
                    <m:r>
                      <m:rPr>
                        <m:sty m:val="b"/>
                      </m:rPr>
                      <m:t>,</m:t>
                    </m:r>
                    <m:r>
                      <m:rPr>
                        <m:sty m:val="b"/>
                      </m:rPr>
                      <m:t>0112</m:t>
                    </m:r>
                  </m:oMath>
                  <w:r>
                    <w:t xml:space="preserve">​</w:t>
                  </w:r>
                </w:p>
              </w:tc>
              <w:tc>
                <w:tcPr/>
                <w:p>
                  <w:pPr>
                    <w:pStyle w:val="Compact"/>
                    <w:jc w:val="center"/>
                    <w:jc w:val="center"/>
                  </w:pPr>
                  <m:oMath>
                    <m:r>
                      <m:rPr>
                        <m:sty m:val="b"/>
                      </m:rPr>
                      <m:t>60</m:t>
                    </m:r>
                    <m:r>
                      <m:rPr>
                        <m:sty m:val="b"/>
                      </m:rPr>
                      <m:t>,</m:t>
                    </m:r>
                    <m:r>
                      <m:rPr>
                        <m:sty m:val="b"/>
                      </m:rPr>
                      <m:t>51</m:t>
                    </m:r>
                    <m:r>
                      <m:rPr>
                        <m:nor/>
                        <m:sty m:val="p"/>
                      </m:rPr>
                      <m:t> %</m:t>
                    </m:r>
                  </m:oMath>
                  <w:r>
                    <w:t xml:space="preserve">​</w:t>
                  </w:r>
                </w:p>
              </w:tc>
              <w:tc>
                <w:tcPr/>
                <w:p>
                  <w:pPr>
                    <w:pStyle w:val="Compact"/>
                    <w:jc w:val="center"/>
                    <w:jc w:val="center"/>
                  </w:pPr>
                  <m:oMath>
                    <m:r>
                      <m:rPr>
                        <m:sty m:val="b"/>
                      </m:rPr>
                      <m:t>57</m:t>
                    </m:r>
                    <m:r>
                      <m:rPr>
                        <m:sty m:val="b"/>
                      </m:rPr>
                      <m:t>,</m:t>
                    </m:r>
                    <m:r>
                      <m:rPr>
                        <m:sty m:val="b"/>
                      </m:rPr>
                      <m:t>23</m:t>
                    </m:r>
                    <m:r>
                      <m:rPr>
                        <m:nor/>
                        <m:sty m:val="p"/>
                      </m:rPr>
                      <m:t> %</m:t>
                    </m:r>
                  </m:oMath>
                  <w:r>
                    <w:t xml:space="preserve">​</w:t>
                  </w:r>
                </w:p>
              </w:tc>
              <w:tc>
                <w:tcPr/>
                <w:p>
                  <w:pPr>
                    <w:pStyle w:val="Compact"/>
                    <w:jc w:val="center"/>
                    <w:jc w:val="center"/>
                  </w:pPr>
                  <m:oMath>
                    <m:r>
                      <m:rPr>
                        <m:sty m:val="b"/>
                      </m:rPr>
                      <m:t>0</m:t>
                    </m:r>
                    <m:r>
                      <m:rPr>
                        <m:sty m:val="b"/>
                      </m:rPr>
                      <m:t>,</m:t>
                    </m:r>
                    <m:r>
                      <m:rPr>
                        <m:sty m:val="b"/>
                      </m:rPr>
                      <m:t>0517</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8494</m:t>
                    </m:r>
                    <m:r>
                      <m:t> </m:t>
                    </m:r>
                    <m:r>
                      <m:rPr>
                        <m:sty m:val="p"/>
                      </m:rPr>
                      <m:t>[</m:t>
                    </m:r>
                    <m:r>
                      <m:t>0</m:t>
                    </m:r>
                    <m:r>
                      <m:rPr>
                        <m:sty m:val="p"/>
                      </m:rPr>
                      <m:t>,</m:t>
                    </m:r>
                    <m:r>
                      <m:t>806</m:t>
                    </m:r>
                    <m:r>
                      <m:rPr>
                        <m:sty m:val="p"/>
                      </m:rPr>
                      <m:t>−</m:t>
                    </m:r>
                    <m:r>
                      <m:t>0</m:t>
                    </m:r>
                    <m:r>
                      <m:rPr>
                        <m:sty m:val="p"/>
                      </m:rPr>
                      <m:t>,</m:t>
                    </m:r>
                    <m:r>
                      <m:t>890</m:t>
                    </m:r>
                    <m:r>
                      <m:rPr>
                        <m:sty m:val="p"/>
                      </m:rPr>
                      <m:t>]</m:t>
                    </m:r>
                  </m:oMath>
                  <w:r>
                    <w:t xml:space="preserve">​</w:t>
                  </w:r>
                </w:p>
              </w:tc>
              <w:tc>
                <w:tcPr/>
                <w:p>
                  <w:pPr>
                    <w:pStyle w:val="Compact"/>
                    <w:jc w:val="center"/>
                    <w:jc w:val="center"/>
                  </w:pPr>
                  <m:oMath>
                    <m:r>
                      <m:rPr>
                        <m:sty m:val="b"/>
                      </m:rPr>
                      <m:t>0</m:t>
                    </m:r>
                    <m:r>
                      <m:rPr>
                        <m:sty m:val="b"/>
                      </m:rPr>
                      <m:t>,</m:t>
                    </m:r>
                    <m:r>
                      <m:rPr>
                        <m:sty m:val="b"/>
                      </m:rPr>
                      <m:t>7057</m:t>
                    </m:r>
                  </m:oMath>
                  <w:r>
                    <w:t xml:space="preserve">​</w:t>
                  </w:r>
                </w:p>
              </w:tc>
              <w:tc>
                <w:tcPr/>
                <w:p>
                  <w:pPr>
                    <w:pStyle w:val="Compact"/>
                    <w:jc w:val="center"/>
                    <w:jc w:val="center"/>
                  </w:pPr>
                  <m:oMath>
                    <m:r>
                      <m:rPr>
                        <m:sty m:val="b"/>
                      </m:rPr>
                      <m:t>0</m:t>
                    </m:r>
                    <m:r>
                      <m:rPr>
                        <m:sty m:val="b"/>
                      </m:rPr>
                      <m:t>,</m:t>
                    </m:r>
                    <m:r>
                      <m:rPr>
                        <m:sty m:val="b"/>
                      </m:rPr>
                      <m:t>0615</m:t>
                    </m:r>
                  </m:oMath>
                  <w:r>
                    <w:t xml:space="preserve">​</w:t>
                  </w:r>
                </w:p>
              </w:tc>
              <w:tc>
                <w:tcPr/>
                <w:p>
                  <w:pPr>
                    <w:pStyle w:val="Compact"/>
                    <w:jc w:val="center"/>
                    <w:jc w:val="center"/>
                  </w:pPr>
                  <m:oMath>
                    <m:r>
                      <m:rPr>
                        <m:sty m:val="b"/>
                      </m:rPr>
                      <m:t>90</m:t>
                    </m:r>
                    <m:r>
                      <m:rPr>
                        <m:sty m:val="b"/>
                      </m:rPr>
                      <m:t>,</m:t>
                    </m:r>
                    <m:r>
                      <m:rPr>
                        <m:sty m:val="b"/>
                      </m:rPr>
                      <m:t>16</m:t>
                    </m:r>
                    <m:r>
                      <m:rPr>
                        <m:nor/>
                        <m:sty m:val="p"/>
                      </m:rPr>
                      <m:t> %</m:t>
                    </m:r>
                  </m:oMath>
                  <w:r>
                    <w:t xml:space="preserve">​</w:t>
                  </w:r>
                </w:p>
              </w:tc>
              <w:tc>
                <w:tcPr/>
                <w:p>
                  <w:pPr>
                    <w:pStyle w:val="Compact"/>
                    <w:jc w:val="center"/>
                    <w:jc w:val="center"/>
                  </w:pPr>
                  <m:oMath>
                    <m:r>
                      <m:rPr>
                        <m:sty m:val="b"/>
                      </m:rPr>
                      <m:t>66</m:t>
                    </m:r>
                    <m:r>
                      <m:rPr>
                        <m:sty m:val="b"/>
                      </m:rPr>
                      <m:t>,</m:t>
                    </m:r>
                    <m:r>
                      <m:rPr>
                        <m:sty m:val="b"/>
                      </m:rPr>
                      <m:t>27</m:t>
                    </m:r>
                    <m:r>
                      <m:rPr>
                        <m:nor/>
                        <m:sty m:val="p"/>
                      </m:rPr>
                      <m:t> %</m:t>
                    </m:r>
                  </m:oMath>
                  <w:r>
                    <w:t xml:space="preserve">​</w:t>
                  </w:r>
                </w:p>
              </w:tc>
              <w:tc>
                <w:tcPr/>
                <w:p>
                  <w:pPr>
                    <w:pStyle w:val="Compact"/>
                    <w:jc w:val="center"/>
                    <w:jc w:val="center"/>
                  </w:pPr>
                  <m:oMath>
                    <m:r>
                      <m:rPr>
                        <m:sty m:val="b"/>
                      </m:rPr>
                      <m:t>0</m:t>
                    </m:r>
                    <m:r>
                      <m:rPr>
                        <m:sty m:val="b"/>
                      </m:rPr>
                      <m:t>,</m:t>
                    </m:r>
                    <m:r>
                      <m:rPr>
                        <m:sty m:val="b"/>
                      </m:rPr>
                      <m:t>0507</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7106</m:t>
                    </m:r>
                    <m:r>
                      <m:t> </m:t>
                    </m:r>
                    <m:r>
                      <m:rPr>
                        <m:sty m:val="p"/>
                      </m:rPr>
                      <m:t>[</m:t>
                    </m:r>
                    <m:r>
                      <m:t>0</m:t>
                    </m:r>
                    <m:r>
                      <m:rPr>
                        <m:sty m:val="p"/>
                      </m:rPr>
                      <m:t>,</m:t>
                    </m:r>
                    <m:r>
                      <m:t>599</m:t>
                    </m:r>
                    <m:r>
                      <m:rPr>
                        <m:sty m:val="p"/>
                      </m:rPr>
                      <m:t>−</m:t>
                    </m:r>
                    <m:r>
                      <m:t>0</m:t>
                    </m:r>
                    <m:r>
                      <m:rPr>
                        <m:sty m:val="p"/>
                      </m:rPr>
                      <m:t>,</m:t>
                    </m:r>
                    <m:r>
                      <m:t>804</m:t>
                    </m:r>
                    <m:r>
                      <m:rPr>
                        <m:sty m:val="p"/>
                      </m:rPr>
                      <m:t>]</m:t>
                    </m:r>
                  </m:oMath>
                  <w:r>
                    <w:t xml:space="preserve">​</w:t>
                  </w:r>
                </w:p>
              </w:tc>
              <w:tc>
                <w:tcPr/>
                <w:p>
                  <w:pPr>
                    <w:pStyle w:val="Compact"/>
                    <w:jc w:val="center"/>
                    <w:jc w:val="center"/>
                  </w:pPr>
                  <m:oMath>
                    <m:r>
                      <m:rPr>
                        <m:sty m:val="b"/>
                      </m:rPr>
                      <m:t>0</m:t>
                    </m:r>
                    <m:r>
                      <m:rPr>
                        <m:sty m:val="b"/>
                      </m:rPr>
                      <m:t>,</m:t>
                    </m:r>
                    <m:r>
                      <m:rPr>
                        <m:sty m:val="b"/>
                      </m:rPr>
                      <m:t>2741</m:t>
                    </m:r>
                  </m:oMath>
                  <w:r>
                    <w:t xml:space="preserve">​</w:t>
                  </w:r>
                </w:p>
              </w:tc>
              <w:tc>
                <w:tcPr/>
                <w:p>
                  <w:pPr>
                    <w:pStyle w:val="Compact"/>
                    <w:jc w:val="center"/>
                    <w:jc w:val="center"/>
                  </w:pPr>
                  <m:oMath>
                    <m:r>
                      <m:rPr>
                        <m:sty m:val="b"/>
                      </m:rPr>
                      <m:t>0</m:t>
                    </m:r>
                    <m:r>
                      <m:rPr>
                        <m:sty m:val="b"/>
                      </m:rPr>
                      <m:t>,</m:t>
                    </m:r>
                    <m:r>
                      <m:rPr>
                        <m:sty m:val="b"/>
                      </m:rPr>
                      <m:t>0106</m:t>
                    </m:r>
                  </m:oMath>
                  <w:r>
                    <w:t xml:space="preserve">​</w:t>
                  </w:r>
                </w:p>
              </w:tc>
              <w:tc>
                <w:tcPr/>
                <w:p>
                  <w:pPr>
                    <w:pStyle w:val="Compact"/>
                    <w:jc w:val="center"/>
                    <w:jc w:val="center"/>
                  </w:pPr>
                  <m:oMath>
                    <m:r>
                      <m:rPr>
                        <m:sty m:val="b"/>
                      </m:rPr>
                      <m:t>31</m:t>
                    </m:r>
                    <m:r>
                      <m:rPr>
                        <m:sty m:val="b"/>
                      </m:rPr>
                      <m:t>,</m:t>
                    </m:r>
                    <m:r>
                      <m:rPr>
                        <m:sty m:val="b"/>
                      </m:rPr>
                      <m:t>67</m:t>
                    </m:r>
                    <m:r>
                      <m:rPr>
                        <m:nor/>
                        <m:sty m:val="p"/>
                      </m:rPr>
                      <m:t> %</m:t>
                    </m:r>
                  </m:oMath>
                  <w:r>
                    <w:t xml:space="preserve">​</w:t>
                  </w:r>
                </w:p>
              </w:tc>
              <w:tc>
                <w:tcPr/>
                <w:p>
                  <w:pPr>
                    <w:pStyle w:val="Compact"/>
                    <w:jc w:val="center"/>
                    <w:jc w:val="center"/>
                  </w:pPr>
                  <m:oMath>
                    <m:r>
                      <m:rPr>
                        <m:sty m:val="b"/>
                      </m:rPr>
                      <m:t>47</m:t>
                    </m:r>
                    <m:r>
                      <m:rPr>
                        <m:sty m:val="b"/>
                      </m:rPr>
                      <m:t>,</m:t>
                    </m:r>
                    <m:r>
                      <m:rPr>
                        <m:sty m:val="b"/>
                      </m:rPr>
                      <m:t>50</m:t>
                    </m:r>
                    <m:r>
                      <m:rPr>
                        <m:nor/>
                        <m:sty m:val="p"/>
                      </m:rPr>
                      <m:t> %</m:t>
                    </m:r>
                  </m:oMath>
                  <w:r>
                    <w:t xml:space="preserve">​</w:t>
                  </w:r>
                </w:p>
              </w:tc>
              <w:tc>
                <w:tcPr/>
                <w:p>
                  <w:pPr>
                    <w:pStyle w:val="Compact"/>
                    <w:jc w:val="center"/>
                    <w:jc w:val="center"/>
                  </w:pPr>
                  <m:oMath>
                    <m:r>
                      <m:rPr>
                        <m:sty m:val="b"/>
                      </m:rPr>
                      <m:t>0</m:t>
                    </m:r>
                    <m:r>
                      <m:rPr>
                        <m:sty m:val="b"/>
                      </m:rPr>
                      <m:t>,</m:t>
                    </m:r>
                    <m:r>
                      <m:rPr>
                        <m:sty m:val="b"/>
                      </m:rPr>
                      <m:t>0783</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6917</m:t>
                    </m:r>
                    <m:r>
                      <m:t> </m:t>
                    </m:r>
                    <m:r>
                      <m:rPr>
                        <m:sty m:val="p"/>
                      </m:rPr>
                      <m:t>[</m:t>
                    </m:r>
                    <m:r>
                      <m:t>0</m:t>
                    </m:r>
                    <m:r>
                      <m:rPr>
                        <m:sty m:val="p"/>
                      </m:rPr>
                      <m:t>,</m:t>
                    </m:r>
                    <m:r>
                      <m:t>582</m:t>
                    </m:r>
                    <m:r>
                      <m:rPr>
                        <m:sty m:val="p"/>
                      </m:rPr>
                      <m:t>−</m:t>
                    </m:r>
                    <m:r>
                      <m:t>0</m:t>
                    </m:r>
                    <m:r>
                      <m:rPr>
                        <m:sty m:val="p"/>
                      </m:rPr>
                      <m:t>,</m:t>
                    </m:r>
                    <m:r>
                      <m:t>796</m:t>
                    </m:r>
                    <m:r>
                      <m:rPr>
                        <m:sty m:val="p"/>
                      </m:rPr>
                      <m:t>]</m:t>
                    </m:r>
                  </m:oMath>
                  <w:r>
                    <w:t xml:space="preserve">​</w:t>
                  </w:r>
                </w:p>
              </w:tc>
              <w:tc>
                <w:tcPr/>
                <w:p>
                  <w:pPr>
                    <w:pStyle w:val="Compact"/>
                    <w:jc w:val="center"/>
                    <w:jc w:val="center"/>
                  </w:pPr>
                  <m:oMath>
                    <m:r>
                      <m:rPr>
                        <m:sty m:val="b"/>
                      </m:rPr>
                      <m:t>0</m:t>
                    </m:r>
                    <m:r>
                      <m:rPr>
                        <m:sty m:val="b"/>
                      </m:rPr>
                      <m:t>,</m:t>
                    </m:r>
                    <m:r>
                      <m:rPr>
                        <m:sty m:val="b"/>
                      </m:rPr>
                      <m:t>3031</m:t>
                    </m:r>
                  </m:oMath>
                  <w:r>
                    <w:t xml:space="preserve">​</w:t>
                  </w:r>
                </w:p>
              </w:tc>
              <w:tc>
                <w:tcPr/>
                <w:p>
                  <w:pPr>
                    <w:pStyle w:val="Compact"/>
                    <w:jc w:val="center"/>
                    <w:jc w:val="center"/>
                  </w:pPr>
                  <m:oMath>
                    <m:r>
                      <m:rPr>
                        <m:sty m:val="b"/>
                      </m:rPr>
                      <m:t>0</m:t>
                    </m:r>
                    <m:r>
                      <m:rPr>
                        <m:sty m:val="b"/>
                      </m:rPr>
                      <m:t>,</m:t>
                    </m:r>
                    <m:r>
                      <m:rPr>
                        <m:sty m:val="b"/>
                      </m:rPr>
                      <m:t>0216</m:t>
                    </m:r>
                  </m:oMath>
                  <w:r>
                    <w:t xml:space="preserve">​</w:t>
                  </w:r>
                </w:p>
              </w:tc>
              <w:tc>
                <w:tcPr/>
                <w:p>
                  <w:pPr>
                    <w:pStyle w:val="Compact"/>
                    <w:jc w:val="center"/>
                    <w:jc w:val="center"/>
                  </w:pPr>
                  <m:oMath>
                    <m:r>
                      <m:rPr>
                        <m:sty m:val="b"/>
                      </m:rPr>
                      <m:t>50</m:t>
                    </m:r>
                    <m:r>
                      <m:rPr>
                        <m:sty m:val="b"/>
                      </m:rPr>
                      <m:t>,</m:t>
                    </m:r>
                    <m:r>
                      <m:rPr>
                        <m:sty m:val="b"/>
                      </m:rPr>
                      <m:t>00</m:t>
                    </m:r>
                    <m:r>
                      <m:rPr>
                        <m:nor/>
                        <m:sty m:val="p"/>
                      </m:rPr>
                      <m:t> %</m:t>
                    </m:r>
                  </m:oMath>
                  <w:r>
                    <w:t xml:space="preserve">​</w:t>
                  </w:r>
                </w:p>
              </w:tc>
              <w:tc>
                <w:tcPr/>
                <w:p>
                  <w:pPr>
                    <w:pStyle w:val="Compact"/>
                    <w:jc w:val="center"/>
                    <w:jc w:val="center"/>
                  </w:pPr>
                  <m:oMath>
                    <m:r>
                      <m:rPr>
                        <m:sty m:val="b"/>
                      </m:rPr>
                      <m:t>25</m:t>
                    </m:r>
                    <m:r>
                      <m:rPr>
                        <m:sty m:val="b"/>
                      </m:rPr>
                      <m:t>,</m:t>
                    </m:r>
                    <m:r>
                      <m:rPr>
                        <m:sty m:val="b"/>
                      </m:rPr>
                      <m:t>00</m:t>
                    </m:r>
                    <m:r>
                      <m:rPr>
                        <m:nor/>
                        <m:sty m:val="p"/>
                      </m:rPr>
                      <m:t> %</m:t>
                    </m:r>
                  </m:oMath>
                  <w:r>
                    <w:t xml:space="preserve">​</w:t>
                  </w:r>
                </w:p>
              </w:tc>
              <w:tc>
                <w:tcPr/>
                <w:p>
                  <w:pPr>
                    <w:pStyle w:val="Compact"/>
                    <w:jc w:val="center"/>
                    <w:jc w:val="center"/>
                  </w:pPr>
                  <m:oMath>
                    <m:r>
                      <m:rPr>
                        <m:sty m:val="b"/>
                      </m:rPr>
                      <m:t>0</m:t>
                    </m:r>
                    <m:r>
                      <m:rPr>
                        <m:sty m:val="b"/>
                      </m:rPr>
                      <m:t>,</m:t>
                    </m:r>
                    <m:r>
                      <m:rPr>
                        <m:sty m:val="b"/>
                      </m:rPr>
                      <m:t>0780</m:t>
                    </m:r>
                  </m:oMath>
                  <w:r>
                    <w:t xml:space="preserve">​</w:t>
                  </w:r>
                </w:p>
              </w:tc>
            </w:tr>
          </w:tbl>
          <w:bookmarkEnd w:id="49"/>
          <w:p/>
        </w:tc>
      </w:tr>
    </w:tbl>
    <w:p>
      <w:pPr>
        <w:pStyle w:val="BodyText"/>
      </w:pPr>
      <w:r>
        <w:t xml:space="preserve">En la capa de</w:t>
      </w:r>
      <w:r>
        <w:t xml:space="preserve"> </w:t>
      </w:r>
      <w:r>
        <w:rPr>
          <w:b/>
          <w:bCs/>
        </w:rPr>
        <w:t xml:space="preserve">Propagación Táctica</w:t>
      </w:r>
      <w:r>
        <w:t xml:space="preserve">, el modelo alcanza un rendimiento sobresaliente: en el Chaco logra un ROC-AUC de</w:t>
      </w:r>
      <w:r>
        <w:t xml:space="preserve"> </w:t>
      </w:r>
      <m:oMath>
        <m:r>
          <m:t>0</m:t>
        </m:r>
        <m:r>
          <m:rPr>
            <m:sty m:val="p"/>
          </m:rPr>
          <m:t>,</m:t>
        </m:r>
        <m:r>
          <m:t>8494</m:t>
        </m:r>
      </m:oMath>
      <w:r>
        <w:t xml:space="preserve"> </w:t>
      </w:r>
      <w:r>
        <w:t xml:space="preserve">(</w:t>
      </w:r>
      <m:oMath>
        <m:r>
          <m:rPr>
            <m:sty m:val="p"/>
          </m:rPr>
          <m:t>[</m:t>
        </m:r>
        <m:r>
          <m:t>0</m:t>
        </m:r>
        <m:r>
          <m:rPr>
            <m:sty m:val="p"/>
          </m:rPr>
          <m:t>,</m:t>
        </m:r>
        <m:r>
          <m:t>806</m:t>
        </m:r>
        <m:r>
          <m:rPr>
            <m:sty m:val="p"/>
          </m:rPr>
          <m:t>−</m:t>
        </m:r>
        <m:r>
          <m:t>0</m:t>
        </m:r>
        <m:r>
          <m:rPr>
            <m:sty m:val="p"/>
          </m:rPr>
          <m:t>,</m:t>
        </m:r>
        <m:r>
          <m:t>890</m:t>
        </m:r>
        <m:r>
          <m:rPr>
            <m:sty m:val="p"/>
          </m:rPr>
          <m:t>]</m:t>
        </m:r>
      </m:oMath>
      <w:r>
        <w:t xml:space="preserve">), un PR-AUC de</w:t>
      </w:r>
      <w:r>
        <w:t xml:space="preserve"> </w:t>
      </w:r>
      <m:oMath>
        <m:r>
          <m:t>0</m:t>
        </m:r>
        <m:r>
          <m:rPr>
            <m:sty m:val="p"/>
          </m:rPr>
          <m:t>,</m:t>
        </m:r>
        <m:r>
          <m:t>7057</m:t>
        </m:r>
      </m:oMath>
      <w:r>
        <w:t xml:space="preserve"> </w:t>
      </w:r>
      <w:r>
        <w:t xml:space="preserve">y una precisión táctica del</w:t>
      </w:r>
      <w:r>
        <w:t xml:space="preserve"> </w:t>
      </w:r>
      <m:oMath>
        <m:r>
          <m:t>90</m:t>
        </m:r>
        <m:r>
          <m:rPr>
            <m:sty m:val="p"/>
          </m:rPr>
          <m:t>,</m:t>
        </m:r>
        <m:r>
          <m:t>16</m:t>
        </m:r>
        <m:r>
          <m:rPr>
            <m:nor/>
            <m:sty m:val="p"/>
          </m:rPr>
          <m:t> %</m:t>
        </m:r>
      </m:oMath>
      <w:r>
        <w:t xml:space="preserve">, cometiendo únicamente 12 falsos positivos en todo el conjunto de prueba de 1.826 celdas evaluadas. En la Región Oriental, la precisión táctica bajo corte optimizado asciende al</w:t>
      </w:r>
      <w:r>
        <w:t xml:space="preserve"> </w:t>
      </w:r>
      <m:oMath>
        <m:r>
          <m:t>50</m:t>
        </m:r>
        <m:r>
          <m:rPr>
            <m:sty m:val="p"/>
          </m:rPr>
          <m:t>,</m:t>
        </m:r>
        <m:r>
          <m:t>00</m:t>
        </m:r>
        <m:r>
          <m:rPr>
            <m:nor/>
            <m:sty m:val="p"/>
          </m:rPr>
          <m:t> %</m:t>
        </m:r>
      </m:oMath>
      <w:r>
        <w:t xml:space="preserve"> </w:t>
      </w:r>
      <w:r>
        <w:t xml:space="preserve">con apenas 10 falsos positivos.</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ERA5-Land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8305</m:t>
        </m:r>
      </m:oMath>
      <w:r>
        <w:t xml:space="preserve"> </w:t>
      </w:r>
      <w:r>
        <w:t xml:space="preserve">(</w:t>
      </w:r>
      <m:oMath>
        <m:r>
          <m:rPr>
            <m:sty m:val="p"/>
          </m:rPr>
          <m:t>[</m:t>
        </m:r>
        <m:r>
          <m:t>0</m:t>
        </m:r>
        <m:r>
          <m:rPr>
            <m:sty m:val="p"/>
          </m:rPr>
          <m:t>,</m:t>
        </m:r>
        <m:r>
          <m:t>788</m:t>
        </m:r>
        <m:r>
          <m:rPr>
            <m:sty m:val="p"/>
          </m:rPr>
          <m:t>−</m:t>
        </m:r>
        <m:r>
          <m:t>0</m:t>
        </m:r>
        <m:r>
          <m:rPr>
            <m:sty m:val="p"/>
          </m:rPr>
          <m:t>,</m:t>
        </m:r>
        <m:r>
          <m:t>871</m:t>
        </m:r>
        <m:r>
          <m:rPr>
            <m:sty m:val="p"/>
          </m:rPr>
          <m:t>]</m:t>
        </m:r>
      </m:oMath>
      <w:r>
        <w:t xml:space="preserve">) y un PR-AUC de</w:t>
      </w:r>
      <w:r>
        <w:t xml:space="preserve"> </w:t>
      </w:r>
      <m:oMath>
        <m:r>
          <m:t>0</m:t>
        </m:r>
        <m:r>
          <m:rPr>
            <m:sty m:val="p"/>
          </m:rPr>
          <m:t>,</m:t>
        </m:r>
        <m:r>
          <m:t>5714</m:t>
        </m:r>
      </m:oMath>
      <w:r>
        <w:t xml:space="preserve"> </w:t>
      </w:r>
      <w:r>
        <w:t xml:space="preserve">en el Chaco, y un ROC-AUC de</w:t>
      </w:r>
      <w:r>
        <w:t xml:space="preserve"> </w:t>
      </w:r>
      <m:oMath>
        <m:r>
          <m:t>0</m:t>
        </m:r>
        <m:r>
          <m:rPr>
            <m:sty m:val="p"/>
          </m:rPr>
          <m:t>,</m:t>
        </m:r>
        <m:r>
          <m:t>7106</m:t>
        </m:r>
      </m:oMath>
      <w:r>
        <w:t xml:space="preserve"> </w:t>
      </w:r>
      <w:r>
        <w:t xml:space="preserve">(</w:t>
      </w:r>
      <m:oMath>
        <m:r>
          <m:rPr>
            <m:sty m:val="p"/>
          </m:rPr>
          <m:t>[</m:t>
        </m:r>
        <m:r>
          <m:t>0</m:t>
        </m:r>
        <m:r>
          <m:rPr>
            <m:sty m:val="p"/>
          </m:rPr>
          <m:t>,</m:t>
        </m:r>
        <m:r>
          <m:t>599</m:t>
        </m:r>
        <m:r>
          <m:rPr>
            <m:sty m:val="p"/>
          </m:rPr>
          <m:t>−</m:t>
        </m:r>
        <m:r>
          <m:t>0</m:t>
        </m:r>
        <m:r>
          <m:rPr>
            <m:sty m:val="p"/>
          </m:rPr>
          <m:t>,</m:t>
        </m:r>
        <m:r>
          <m:t>804</m:t>
        </m:r>
        <m:r>
          <m:rPr>
            <m:sty m:val="p"/>
          </m:rPr>
          <m:t>]</m:t>
        </m:r>
      </m:oMath>
      <w:r>
        <w:t xml:space="preserve">) en la Región Oriental, con un error de calibración esperado (</w:t>
      </w:r>
      <m:oMath>
        <m:r>
          <m:t>E</m:t>
        </m:r>
        <m:r>
          <m:t>C</m:t>
        </m:r>
        <m:r>
          <m:t>E</m:t>
        </m:r>
      </m:oMath>
      <w:r>
        <w:t xml:space="preserve">) excepcional de apenas</w:t>
      </w:r>
      <w:r>
        <w:t xml:space="preserve"> </w:t>
      </w:r>
      <m:oMath>
        <m:r>
          <m:t>0</m:t>
        </m:r>
        <m:r>
          <m:rPr>
            <m:sty m:val="p"/>
          </m:rPr>
          <m:t>,</m:t>
        </m:r>
        <m:r>
          <m:t>0112</m:t>
        </m:r>
      </m:oMath>
      <w:r>
        <w:t xml:space="preserve"> </w:t>
      </w:r>
      <w:r>
        <w:t xml:space="preserve">y</w:t>
      </w:r>
      <w:r>
        <w:t xml:space="preserve"> </w:t>
      </w:r>
      <m:oMath>
        <m:r>
          <m:t>0</m:t>
        </m:r>
        <m:r>
          <m:rPr>
            <m:sty m:val="p"/>
          </m:rPr>
          <m:t>,</m:t>
        </m:r>
        <m:r>
          <m:t>0106</m:t>
        </m:r>
      </m:oMath>
      <w:r>
        <w:t xml:space="preserve"> </w:t>
      </w:r>
      <w:r>
        <w:t xml:space="preserve">(indicando que las probabilidades pronosticadas coinciden con la frecuencia real observada con un desvío menor al</w:t>
      </w:r>
      <w:r>
        <w:t xml:space="preserve"> </w:t>
      </w:r>
      <m:oMath>
        <m:r>
          <m:t>1</m:t>
        </m:r>
        <m:r>
          <m:rPr>
            <m:sty m:val="p"/>
          </m:rPr>
          <m:t>,</m:t>
        </m:r>
        <m:r>
          <m:t>2</m:t>
        </m:r>
        <m:r>
          <m:rPr>
            <m:nor/>
            <m:sty m:val="p"/>
          </m:rPr>
          <m:t> %</m:t>
        </m:r>
      </m:oMath>
      <w:r>
        <w:t xml:space="preserve">).</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física.</w:t>
      </w:r>
    </w:p>
    <w:tbl>
      <w:tblPr>
        <w:tblStyle w:val="Table"/>
        <w:tblW w:type="pct" w:w="5000"/>
        <w:tblLayout w:type="fixed"/>
        <w:tblLook w:firstRow="0" w:lastRow="0" w:firstColumn="0" w:lastColumn="0" w:noHBand="0" w:noVBand="0" w:val="0000"/>
      </w:tblPr>
      <w:tblGrid>
        <w:gridCol w:w="7920"/>
      </w:tblGrid>
      <w:tr>
        <w:tc>
          <w:tcPr/>
          <w:bookmarkStart w:id="53" w:name="fig-curvas-test"/>
          <w:p>
            <w:pPr>
              <w:pStyle w:val="Compact"/>
              <w:jc w:val="center"/>
            </w:pPr>
            <w:r>
              <w:drawing>
                <wp:inline>
                  <wp:extent cx="5334000" cy="2286000"/>
                  <wp:effectExtent b="0" l="0" r="0" t="0"/>
                  <wp:docPr descr="" title="" id="51" name="Picture"/>
                  <a:graphic>
                    <a:graphicData uri="http://schemas.openxmlformats.org/drawingml/2006/picture">
                      <pic:pic>
                        <pic:nvPicPr>
                          <pic:cNvPr descr="figuras/fig02_curvas_roc_pr_test.png" id="52" name="Picture"/>
                          <pic:cNvPicPr>
                            <a:picLocks noChangeArrowheads="1" noChangeAspect="1"/>
                          </pic:cNvPicPr>
                        </pic:nvPicPr>
                        <pic:blipFill>
                          <a:blip r:embed="rId50"/>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Primaria Física y Propagación Táctica en el Chaco y la Región Oriental.</w:t>
            </w:r>
          </w:p>
          <w:bookmarkEnd w:id="53"/>
        </w:tc>
      </w:tr>
    </w:tbl>
    <w:bookmarkEnd w:id="54"/>
    <w:bookmarkStart w:id="60" w:name="X200259cb956bffcf5a2e654c437f4ed1f2e499e"/>
    <w:p>
      <w:pPr>
        <w:pStyle w:val="Heading2"/>
      </w:pPr>
      <w:r>
        <w:t xml:space="preserve">5.2 5.2 Benchmarking Comparativo Internacional y Significancia Estadística</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 incluyendo intervalos de confianza al 95 % por remuestreo no paramétrico (</w:t>
      </w:r>
      <m:oMath>
        <m:r>
          <m:t>N</m:t>
        </m:r>
        <m:r>
          <m:rPr>
            <m:sty m:val="p"/>
          </m:rPr>
          <m:t>=</m:t>
        </m:r>
        <m:r>
          <m:t>500</m:t>
        </m:r>
      </m:oMath>
      <w:r>
        <w:t xml:space="preserve">) y el error de calibración esperado (</w:t>
      </w:r>
      <m:oMath>
        <m:r>
          <m:t>E</m:t>
        </m:r>
        <m:r>
          <m:t>C</m:t>
        </m:r>
        <m:r>
          <m:t>E</m:t>
        </m:r>
      </m:oMath>
      <w:r>
        <w:t xml:space="preserve">).</w:t>
      </w:r>
    </w:p>
    <w:tbl>
      <w:tblPr>
        <w:tblStyle w:val="Table"/>
        <w:tblW w:type="pct" w:w="5000"/>
        <w:tblLayout w:type="fixed"/>
        <w:tblLook w:firstRow="0" w:lastRow="0" w:firstColumn="0" w:lastColumn="0" w:noHBand="0" w:noVBand="0" w:val="0000"/>
      </w:tblPr>
      <w:tblGrid>
        <w:gridCol w:w="7920"/>
      </w:tblGrid>
      <w:tr>
        <w:tc>
          <w:tcPr/>
          <w:bookmarkStart w:id="55" w:name="tbl-benchmark"/>
          <w:p>
            <w:pPr>
              <w:jc w:val="center"/>
            </w:pPr>
            <w:pPr>
              <w:jc w:val="left"/>
              <w:spacing w:before="200"/>
              <w:pStyle w:val="ImageCaption"/>
            </w:pPr>
            <w:r>
              <w:t xml:space="preserve">Tabla 3: Benchmarking internacional comparativo sobre el mismo conjunto de prueba ciego out-of-time (evaluado con script reproducible</w:t>
            </w:r>
            <w:r>
              <w:t xml:space="preserve"> </w:t>
            </w:r>
            <w:r>
              <w:rPr>
                <w:rStyle w:val="VerbatimChar"/>
              </w:rPr>
              <w:t xml:space="preserve">scripts/13_benchmarking_modelos.py</w:t>
            </w:r>
            <w:r>
              <w:t xml:space="preserve">).</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 [IC 95 %]</w:t>
                  </w:r>
                </w:p>
              </w:tc>
              <w:tc>
                <w:tcPr/>
                <w:p>
                  <w:pPr>
                    <w:pStyle w:val="Compact"/>
                    <w:jc w:val="center"/>
                    <w:jc w:val="center"/>
                  </w:pPr>
                  <w:r>
                    <w:t xml:space="preserve">PR-AUC</w:t>
                  </w:r>
                </w:p>
              </w:tc>
              <w:tc>
                <w:tcPr/>
                <w:p>
                  <w:pPr>
                    <w:pStyle w:val="Compact"/>
                    <w:jc w:val="center"/>
                    <w:jc w:val="center"/>
                  </w:pPr>
                  <w:r>
                    <w:t xml:space="preserve">ECE</w:t>
                  </w:r>
                </w:p>
              </w:tc>
              <w:tc>
                <w:tcPr/>
                <w:p>
                  <w:pPr>
                    <w:pStyle w:val="Compact"/>
                    <w:jc w:val="center"/>
                    <w:jc w:val="center"/>
                  </w:pPr>
                  <w:r>
                    <w:t xml:space="preserve">Brier Skill Score</w:t>
                  </w:r>
                </w:p>
              </w:tc>
              <w:tc>
                <w:tcPr/>
                <w:p>
                  <w:pPr>
                    <w:pStyle w:val="Compact"/>
                    <w:jc w:val="center"/>
                    <w:jc w:val="center"/>
                  </w:pPr>
                  <w:r>
                    <w:t xml:space="preserve">Falsos Positivos</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7106</m:t>
                    </m:r>
                    <m:r>
                      <m:t> </m:t>
                    </m:r>
                    <m:r>
                      <m:rPr>
                        <m:sty m:val="p"/>
                      </m:rPr>
                      <m:t>[</m:t>
                    </m:r>
                    <m:r>
                      <m:t>0</m:t>
                    </m:r>
                    <m:r>
                      <m:rPr>
                        <m:sty m:val="p"/>
                      </m:rPr>
                      <m:t>,</m:t>
                    </m:r>
                    <m:r>
                      <m:t>599</m:t>
                    </m:r>
                    <m:r>
                      <m:rPr>
                        <m:sty m:val="p"/>
                      </m:rPr>
                      <m:t>−</m:t>
                    </m:r>
                    <m:r>
                      <m:t>0</m:t>
                    </m:r>
                    <m:r>
                      <m:rPr>
                        <m:sty m:val="p"/>
                      </m:rPr>
                      <m:t>,</m:t>
                    </m:r>
                    <m:r>
                      <m:t>804</m:t>
                    </m:r>
                    <m:r>
                      <m:rPr>
                        <m:sty m:val="p"/>
                      </m:rPr>
                      <m:t>]</m:t>
                    </m:r>
                  </m:oMath>
                  <w:r>
                    <w:t xml:space="preserve">​</w:t>
                  </w:r>
                </w:p>
              </w:tc>
              <w:tc>
                <w:tcPr/>
                <w:p>
                  <w:pPr>
                    <w:pStyle w:val="Compact"/>
                    <w:jc w:val="center"/>
                    <w:jc w:val="center"/>
                  </w:pPr>
                  <m:oMath>
                    <m:r>
                      <m:rPr>
                        <m:sty m:val="b"/>
                      </m:rPr>
                      <m:t>0</m:t>
                    </m:r>
                    <m:r>
                      <m:rPr>
                        <m:sty m:val="b"/>
                      </m:rPr>
                      <m:t>,</m:t>
                    </m:r>
                    <m:r>
                      <m:rPr>
                        <m:sty m:val="b"/>
                      </m:rPr>
                      <m:t>2741</m:t>
                    </m:r>
                  </m:oMath>
                  <w:r>
                    <w:t xml:space="preserve">​</w:t>
                  </w:r>
                </w:p>
              </w:tc>
              <w:tc>
                <w:tcPr/>
                <w:p>
                  <w:pPr>
                    <w:pStyle w:val="Compact"/>
                    <w:jc w:val="center"/>
                    <w:jc w:val="center"/>
                  </w:pPr>
                  <m:oMath>
                    <m:r>
                      <m:rPr>
                        <m:sty m:val="b"/>
                      </m:rPr>
                      <m:t>0</m:t>
                    </m:r>
                    <m:r>
                      <m:rPr>
                        <m:sty m:val="b"/>
                      </m:rPr>
                      <m:t>,</m:t>
                    </m:r>
                    <m:r>
                      <m:rPr>
                        <m:sty m:val="b"/>
                      </m:rPr>
                      <m:t>0106</m:t>
                    </m:r>
                  </m:oMath>
                  <w:r>
                    <w:t xml:space="preserve">​</w:t>
                  </w:r>
                </w:p>
              </w:tc>
              <w:tc>
                <w:tcPr/>
                <w:p>
                  <w:pPr>
                    <w:pStyle w:val="Compact"/>
                    <w:jc w:val="center"/>
                    <w:jc w:val="center"/>
                  </w:pPr>
                  <m:oMath>
                    <m:r>
                      <m:rPr>
                        <m:sty m:val="b"/>
                      </m:rPr>
                      <m:t>+</m:t>
                    </m:r>
                    <m:r>
                      <m:rPr>
                        <m:sty m:val="b"/>
                      </m:rPr>
                      <m:t>0</m:t>
                    </m:r>
                    <m:r>
                      <m:rPr>
                        <m:sty m:val="b"/>
                      </m:rPr>
                      <m:t>,</m:t>
                    </m:r>
                    <m:r>
                      <m:rPr>
                        <m:sty m:val="b"/>
                      </m:rPr>
                      <m:t>0521</m:t>
                    </m:r>
                  </m:oMath>
                  <w:r>
                    <w:t xml:space="preserve">​</w:t>
                  </w:r>
                </w:p>
              </w:tc>
              <w:tc>
                <w:tcPr/>
                <w:p>
                  <w:pPr>
                    <w:pStyle w:val="Compact"/>
                    <w:jc w:val="center"/>
                    <w:jc w:val="center"/>
                  </w:pPr>
                  <m:oMath>
                    <m:r>
                      <m:rPr>
                        <m:sty m:val="b"/>
                      </m:rPr>
                      <m:t>41</m:t>
                    </m:r>
                  </m:oMath>
                  <w:r>
                    <w:t xml:space="preserve">​</w:t>
                  </w:r>
                </w:p>
              </w:tc>
            </w:tr>
            <w:tr>
              <w:tc>
                <w:tcPr/>
                <w:p>
                  <w:pPr>
                    <w:pStyle w:val="Compact"/>
                    <w:jc w:val="left"/>
                    <w:jc w:val="center"/>
                  </w:pPr>
                  <w:r>
                    <w:t xml:space="preserve">Región Oriental</w:t>
                  </w:r>
                </w:p>
              </w:tc>
              <w:tc>
                <w:tcPr/>
                <w:p>
                  <w:pPr>
                    <w:pStyle w:val="Compact"/>
                    <w:jc w:val="left"/>
                    <w:jc w:val="center"/>
                  </w:pPr>
                  <w:r>
                    <w:t xml:space="preserve">Incendios_PY (Propagación Táctica)</w:t>
                  </w:r>
                </w:p>
              </w:tc>
              <w:tc>
                <w:tcPr/>
                <w:p>
                  <w:pPr>
                    <w:pStyle w:val="Compact"/>
                    <w:jc w:val="center"/>
                    <w:jc w:val="center"/>
                  </w:pPr>
                  <m:oMath>
                    <m:r>
                      <m:t>0</m:t>
                    </m:r>
                    <m:r>
                      <m:rPr>
                        <m:sty m:val="p"/>
                      </m:rPr>
                      <m:t>,</m:t>
                    </m:r>
                    <m:r>
                      <m:t>6917</m:t>
                    </m:r>
                    <m:r>
                      <m:t> </m:t>
                    </m:r>
                    <m:r>
                      <m:rPr>
                        <m:sty m:val="p"/>
                      </m:rPr>
                      <m:t>[</m:t>
                    </m:r>
                    <m:r>
                      <m:t>0</m:t>
                    </m:r>
                    <m:r>
                      <m:rPr>
                        <m:sty m:val="p"/>
                      </m:rPr>
                      <m:t>,</m:t>
                    </m:r>
                    <m:r>
                      <m:t>582</m:t>
                    </m:r>
                    <m:r>
                      <m:rPr>
                        <m:sty m:val="p"/>
                      </m:rPr>
                      <m:t>−</m:t>
                    </m:r>
                    <m:r>
                      <m:t>0</m:t>
                    </m:r>
                    <m:r>
                      <m:rPr>
                        <m:sty m:val="p"/>
                      </m:rPr>
                      <m:t>,</m:t>
                    </m:r>
                    <m:r>
                      <m:t>796</m:t>
                    </m:r>
                    <m:r>
                      <m:rPr>
                        <m:sty m:val="p"/>
                      </m:rPr>
                      <m:t>]</m:t>
                    </m:r>
                  </m:oMath>
                  <w:r>
                    <w:t xml:space="preserve">​</w:t>
                  </w:r>
                </w:p>
              </w:tc>
              <w:tc>
                <w:tcPr/>
                <w:p>
                  <w:pPr>
                    <w:pStyle w:val="Compact"/>
                    <w:jc w:val="center"/>
                    <w:jc w:val="center"/>
                  </w:pPr>
                  <m:oMath>
                    <m:r>
                      <m:t>0</m:t>
                    </m:r>
                    <m:r>
                      <m:rPr>
                        <m:sty m:val="p"/>
                      </m:rPr>
                      <m:t>,</m:t>
                    </m:r>
                    <m:r>
                      <m:t>3031</m:t>
                    </m:r>
                  </m:oMath>
                  <w:r>
                    <w:t xml:space="preserve">​</w:t>
                  </w:r>
                </w:p>
              </w:tc>
              <w:tc>
                <w:tcPr/>
                <w:p>
                  <w:pPr>
                    <w:pStyle w:val="Compact"/>
                    <w:jc w:val="center"/>
                    <w:jc w:val="center"/>
                  </w:pPr>
                  <m:oMath>
                    <m:r>
                      <m:t>0</m:t>
                    </m:r>
                    <m:r>
                      <m:rPr>
                        <m:sty m:val="p"/>
                      </m:rPr>
                      <m:t>,</m:t>
                    </m:r>
                    <m:r>
                      <m:t>0216</m:t>
                    </m:r>
                  </m:oMath>
                  <w:r>
                    <w:t xml:space="preserve">​</w:t>
                  </w:r>
                </w:p>
              </w:tc>
              <w:tc>
                <w:tcPr/>
                <w:p>
                  <w:pPr>
                    <w:pStyle w:val="Compact"/>
                    <w:jc w:val="center"/>
                    <w:jc w:val="center"/>
                  </w:pPr>
                  <m:oMath>
                    <m:r>
                      <m:rPr>
                        <m:sty m:val="p"/>
                      </m:rPr>
                      <m:t>+</m:t>
                    </m:r>
                    <m:r>
                      <m:t>0</m:t>
                    </m:r>
                    <m:r>
                      <m:rPr>
                        <m:sty m:val="p"/>
                      </m:rPr>
                      <m:t>,</m:t>
                    </m:r>
                    <m:r>
                      <m:t>0560</m:t>
                    </m:r>
                  </m:oMath>
                  <w:r>
                    <w:t xml:space="preserve">​</w:t>
                  </w:r>
                </w:p>
              </w:tc>
              <w:tc>
                <w:tcPr/>
                <w:p>
                  <w:pPr>
                    <w:pStyle w:val="Compact"/>
                    <w:jc w:val="center"/>
                    <w:jc w:val="center"/>
                  </w:pPr>
                  <m:oMath>
                    <m:r>
                      <m:t>10</m:t>
                    </m:r>
                  </m:oMath>
                  <w:r>
                    <w:t xml:space="preserve">​</w:t>
                  </w:r>
                </w:p>
              </w:tc>
            </w:tr>
            <w:tr>
              <w:tc>
                <w:tcPr/>
                <w:p>
                  <w:pPr>
                    <w:pStyle w:val="Compact"/>
                    <w:jc w:val="left"/>
                    <w:jc w:val="center"/>
                  </w:pPr>
                  <w:r>
                    <w:t xml:space="preserve">Región Oriental</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3995</m:t>
                    </m:r>
                    <m:r>
                      <m:t> </m:t>
                    </m:r>
                    <m:r>
                      <m:rPr>
                        <m:sty m:val="p"/>
                      </m:rPr>
                      <m:t>[</m:t>
                    </m:r>
                    <m:r>
                      <m:t>0</m:t>
                    </m:r>
                    <m:r>
                      <m:rPr>
                        <m:sty m:val="p"/>
                      </m:rPr>
                      <m:t>,</m:t>
                    </m:r>
                    <m:r>
                      <m:t>332</m:t>
                    </m:r>
                    <m:r>
                      <m:rPr>
                        <m:sty m:val="p"/>
                      </m:rPr>
                      <m:t>−</m:t>
                    </m:r>
                    <m:r>
                      <m:t>0</m:t>
                    </m:r>
                    <m:r>
                      <m:rPr>
                        <m:sty m:val="p"/>
                      </m:rPr>
                      <m:t>,</m:t>
                    </m:r>
                    <m:r>
                      <m:t>477</m:t>
                    </m:r>
                    <m:r>
                      <m:rPr>
                        <m:sty m:val="p"/>
                      </m:rPr>
                      <m:t>]</m:t>
                    </m:r>
                  </m:oMath>
                  <w:r>
                    <w:t xml:space="preserve">​</w:t>
                  </w:r>
                </w:p>
              </w:tc>
              <w:tc>
                <w:tcPr/>
                <w:p>
                  <w:pPr>
                    <w:pStyle w:val="Compact"/>
                    <w:jc w:val="center"/>
                    <w:jc w:val="center"/>
                  </w:pPr>
                  <m:oMath>
                    <m:r>
                      <m:t>0</m:t>
                    </m:r>
                    <m:r>
                      <m:rPr>
                        <m:sty m:val="p"/>
                      </m:rPr>
                      <m:t>,</m:t>
                    </m:r>
                    <m:r>
                      <m:t>0703</m:t>
                    </m:r>
                  </m:oMath>
                  <w:r>
                    <w:t xml:space="preserve">​</w:t>
                  </w:r>
                </w:p>
              </w:tc>
              <w:tc>
                <w:tcPr/>
                <w:p>
                  <w:pPr>
                    <w:pStyle w:val="Compact"/>
                    <w:jc w:val="center"/>
                    <w:jc w:val="center"/>
                  </w:pPr>
                  <m:oMath>
                    <m:r>
                      <m:t>0</m:t>
                    </m:r>
                    <m:r>
                      <m:rPr>
                        <m:sty m:val="p"/>
                      </m:rPr>
                      <m:t>,</m:t>
                    </m:r>
                    <m:r>
                      <m:t>7634</m:t>
                    </m:r>
                  </m:oMath>
                  <w:r>
                    <w:t xml:space="preserve">​</w:t>
                  </w:r>
                </w:p>
              </w:tc>
              <w:tc>
                <w:tcPr/>
                <w:p>
                  <w:pPr>
                    <w:pStyle w:val="Compact"/>
                    <w:jc w:val="center"/>
                    <w:jc w:val="center"/>
                  </w:pPr>
                  <m:oMath>
                    <m:r>
                      <m:rPr>
                        <m:sty m:val="p"/>
                      </m:rPr>
                      <m:t>−</m:t>
                    </m:r>
                    <m:r>
                      <m:t>8</m:t>
                    </m:r>
                    <m:r>
                      <m:rPr>
                        <m:sty m:val="p"/>
                      </m:rPr>
                      <m:t>,</m:t>
                    </m:r>
                    <m:r>
                      <m:t>2341</m:t>
                    </m:r>
                  </m:oMath>
                  <w:r>
                    <w:t xml:space="preserve">​</w:t>
                  </w:r>
                </w:p>
              </w:tc>
              <w:tc>
                <w:tcPr/>
                <w:p>
                  <w:pPr>
                    <w:pStyle w:val="Compact"/>
                    <w:jc w:val="center"/>
                    <w:jc w:val="center"/>
                  </w:pPr>
                  <m:oMath>
                    <m:r>
                      <m:t>317</m:t>
                    </m:r>
                  </m:oMath>
                  <w:r>
                    <w:t xml:space="preserve">​</w:t>
                  </w:r>
                </w:p>
              </w:tc>
            </w:tr>
            <w:tr>
              <w:tc>
                <w:tcPr/>
                <w:p>
                  <w:pPr>
                    <w:pStyle w:val="Compact"/>
                    <w:jc w:val="left"/>
                    <w:jc w:val="center"/>
                  </w:pPr>
                  <w:r>
                    <w:t xml:space="preserve">Región Oriental</w:t>
                  </w:r>
                </w:p>
              </w:tc>
              <w:tc>
                <w:tcPr/>
                <w:p>
                  <w:pPr>
                    <w:pStyle w:val="Compact"/>
                    <w:jc w:val="left"/>
                    <w:jc w:val="center"/>
                  </w:pPr>
                  <w:r>
                    <w:t xml:space="preserve">Canadian FWI Puro (ISI)</w:t>
                  </w:r>
                </w:p>
              </w:tc>
              <w:tc>
                <w:tcPr/>
                <w:p>
                  <w:pPr>
                    <w:pStyle w:val="Compact"/>
                    <w:jc w:val="center"/>
                    <w:jc w:val="center"/>
                  </w:pPr>
                  <m:oMath>
                    <m:r>
                      <m:t>0</m:t>
                    </m:r>
                    <m:r>
                      <m:rPr>
                        <m:sty m:val="p"/>
                      </m:rPr>
                      <m:t>,</m:t>
                    </m:r>
                    <m:r>
                      <m:t>3892</m:t>
                    </m:r>
                    <m:r>
                      <m:t> </m:t>
                    </m:r>
                    <m:r>
                      <m:rPr>
                        <m:sty m:val="p"/>
                      </m:rPr>
                      <m:t>[</m:t>
                    </m:r>
                    <m:r>
                      <m:t>0</m:t>
                    </m:r>
                    <m:r>
                      <m:rPr>
                        <m:sty m:val="p"/>
                      </m:rPr>
                      <m:t>,</m:t>
                    </m:r>
                    <m:r>
                      <m:t>313</m:t>
                    </m:r>
                    <m:r>
                      <m:rPr>
                        <m:sty m:val="p"/>
                      </m:rPr>
                      <m:t>−</m:t>
                    </m:r>
                    <m:r>
                      <m:t>0</m:t>
                    </m:r>
                    <m:r>
                      <m:rPr>
                        <m:sty m:val="p"/>
                      </m:rPr>
                      <m:t>,</m:t>
                    </m:r>
                    <m:r>
                      <m:t>475</m:t>
                    </m:r>
                    <m:r>
                      <m:rPr>
                        <m:sty m:val="p"/>
                      </m:rPr>
                      <m:t>]</m:t>
                    </m:r>
                  </m:oMath>
                  <w:r>
                    <w:t xml:space="preserve">​</w:t>
                  </w:r>
                </w:p>
              </w:tc>
              <w:tc>
                <w:tcPr/>
                <w:p>
                  <w:pPr>
                    <w:pStyle w:val="Compact"/>
                    <w:jc w:val="center"/>
                    <w:jc w:val="center"/>
                  </w:pPr>
                  <m:oMath>
                    <m:r>
                      <m:t>0</m:t>
                    </m:r>
                    <m:r>
                      <m:rPr>
                        <m:sty m:val="p"/>
                      </m:rPr>
                      <m:t>,</m:t>
                    </m:r>
                    <m:r>
                      <m:t>0779</m:t>
                    </m:r>
                  </m:oMath>
                  <w:r>
                    <w:t xml:space="preserve">​</w:t>
                  </w:r>
                </w:p>
              </w:tc>
              <w:tc>
                <w:tcPr/>
                <w:p>
                  <w:pPr>
                    <w:pStyle w:val="Compact"/>
                    <w:jc w:val="center"/>
                    <w:jc w:val="center"/>
                  </w:pPr>
                  <m:oMath>
                    <m:r>
                      <m:t>0</m:t>
                    </m:r>
                    <m:r>
                      <m:rPr>
                        <m:sty m:val="p"/>
                      </m:rPr>
                      <m:t>,</m:t>
                    </m:r>
                    <m:r>
                      <m:t>4317</m:t>
                    </m:r>
                  </m:oMath>
                  <w:r>
                    <w:t xml:space="preserve">​</w:t>
                  </w:r>
                </w:p>
              </w:tc>
              <w:tc>
                <w:tcPr/>
                <w:p>
                  <w:pPr>
                    <w:pStyle w:val="Compact"/>
                    <w:jc w:val="center"/>
                    <w:jc w:val="center"/>
                  </w:pPr>
                  <m:oMath>
                    <m:r>
                      <m:rPr>
                        <m:sty m:val="p"/>
                      </m:rPr>
                      <m:t>−</m:t>
                    </m:r>
                    <m:r>
                      <m:t>2</m:t>
                    </m:r>
                    <m:r>
                      <m:rPr>
                        <m:sty m:val="p"/>
                      </m:rPr>
                      <m:t>,</m:t>
                    </m:r>
                    <m:r>
                      <m:t>7331</m:t>
                    </m:r>
                  </m:oMath>
                  <w:r>
                    <w:t xml:space="preserve">​</w:t>
                  </w:r>
                </w:p>
              </w:tc>
              <w:tc>
                <w:tcPr/>
                <w:p>
                  <w:pPr>
                    <w:pStyle w:val="Compact"/>
                    <w:jc w:val="center"/>
                    <w:jc w:val="center"/>
                  </w:pPr>
                  <m:oMath>
                    <m:r>
                      <m:t>324</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r>
                      <m:t> </m:t>
                    </m:r>
                    <m:r>
                      <m:rPr>
                        <m:sty m:val="p"/>
                      </m:rPr>
                      <m:t>[</m:t>
                    </m:r>
                    <m:r>
                      <m:t>0</m:t>
                    </m:r>
                    <m:r>
                      <m:rPr>
                        <m:sty m:val="p"/>
                      </m:rPr>
                      <m:t>,</m:t>
                    </m:r>
                    <m:r>
                      <m:t>500</m:t>
                    </m:r>
                    <m:r>
                      <m:rPr>
                        <m:sty m:val="p"/>
                      </m:rPr>
                      <m:t>−</m:t>
                    </m:r>
                    <m:r>
                      <m:t>0</m:t>
                    </m:r>
                    <m:r>
                      <m:rPr>
                        <m:sty m:val="p"/>
                      </m:rPr>
                      <m:t>,</m:t>
                    </m:r>
                    <m:r>
                      <m:t>500</m:t>
                    </m:r>
                    <m:r>
                      <m:rPr>
                        <m:sty m:val="p"/>
                      </m:rPr>
                      <m:t>]</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m:oMath>
                    <m:r>
                      <m:t>0</m:t>
                    </m:r>
                    <m:r>
                      <m:rPr>
                        <m:sty m:val="p"/>
                      </m:rPr>
                      <m:t>,</m:t>
                    </m:r>
                    <m:r>
                      <m:t>0000</m:t>
                    </m:r>
                  </m:oMath>
                  <w:r>
                    <w:t xml:space="preserve">​</w:t>
                  </w:r>
                </w:p>
              </w:tc>
              <w:tc>
                <w:tcPr/>
                <w:p>
                  <w:pPr>
                    <w:pStyle w:val="Compact"/>
                    <w:jc w:val="center"/>
                    <w:jc w:val="center"/>
                  </w:pPr>
                  <m:oMath>
                    <m:r>
                      <m:t>0</m:t>
                    </m:r>
                    <m:r>
                      <m:rPr>
                        <m:sty m:val="p"/>
                      </m:rPr>
                      <m:t>,</m:t>
                    </m:r>
                    <m:r>
                      <m:t>0000</m:t>
                    </m:r>
                  </m:oMath>
                  <w:r>
                    <w:t xml:space="preserve">​</w:t>
                  </w:r>
                </w:p>
              </w:tc>
              <w:tc>
                <w:tcPr/>
                <w:p>
                  <w:pPr>
                    <w:pStyle w:val="Compact"/>
                    <w:jc w:val="center"/>
                    <w:jc w:val="center"/>
                  </w:pPr>
                  <m:oMath>
                    <m:r>
                      <m:t>0</m:t>
                    </m:r>
                  </m:oMath>
                  <w:r>
                    <w:t xml:space="preserve">​</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8494</m:t>
                    </m:r>
                    <m:r>
                      <m:t> </m:t>
                    </m:r>
                    <m:r>
                      <m:rPr>
                        <m:sty m:val="p"/>
                      </m:rPr>
                      <m:t>[</m:t>
                    </m:r>
                    <m:r>
                      <m:t>0</m:t>
                    </m:r>
                    <m:r>
                      <m:rPr>
                        <m:sty m:val="p"/>
                      </m:rPr>
                      <m:t>,</m:t>
                    </m:r>
                    <m:r>
                      <m:t>806</m:t>
                    </m:r>
                    <m:r>
                      <m:rPr>
                        <m:sty m:val="p"/>
                      </m:rPr>
                      <m:t>−</m:t>
                    </m:r>
                    <m:r>
                      <m:t>0</m:t>
                    </m:r>
                    <m:r>
                      <m:rPr>
                        <m:sty m:val="p"/>
                      </m:rPr>
                      <m:t>,</m:t>
                    </m:r>
                    <m:r>
                      <m:t>890</m:t>
                    </m:r>
                    <m:r>
                      <m:rPr>
                        <m:sty m:val="p"/>
                      </m:rPr>
                      <m:t>]</m:t>
                    </m:r>
                  </m:oMath>
                  <w:r>
                    <w:t xml:space="preserve">​</w:t>
                  </w:r>
                </w:p>
              </w:tc>
              <w:tc>
                <w:tcPr/>
                <w:p>
                  <w:pPr>
                    <w:pStyle w:val="Compact"/>
                    <w:jc w:val="center"/>
                    <w:jc w:val="center"/>
                  </w:pPr>
                  <m:oMath>
                    <m:r>
                      <m:rPr>
                        <m:sty m:val="b"/>
                      </m:rPr>
                      <m:t>0</m:t>
                    </m:r>
                    <m:r>
                      <m:rPr>
                        <m:sty m:val="b"/>
                      </m:rPr>
                      <m:t>,</m:t>
                    </m:r>
                    <m:r>
                      <m:rPr>
                        <m:sty m:val="b"/>
                      </m:rPr>
                      <m:t>7057</m:t>
                    </m:r>
                  </m:oMath>
                  <w:r>
                    <w:t xml:space="preserve">​</w:t>
                  </w:r>
                </w:p>
              </w:tc>
              <w:tc>
                <w:tcPr/>
                <w:p>
                  <w:pPr>
                    <w:pStyle w:val="Compact"/>
                    <w:jc w:val="center"/>
                    <w:jc w:val="center"/>
                  </w:pPr>
                  <m:oMath>
                    <m:r>
                      <m:rPr>
                        <m:sty m:val="b"/>
                      </m:rPr>
                      <m:t>0</m:t>
                    </m:r>
                    <m:r>
                      <m:rPr>
                        <m:sty m:val="b"/>
                      </m:rPr>
                      <m:t>,</m:t>
                    </m:r>
                    <m:r>
                      <m:rPr>
                        <m:sty m:val="b"/>
                      </m:rPr>
                      <m:t>0615</m:t>
                    </m:r>
                  </m:oMath>
                  <w:r>
                    <w:t xml:space="preserve">​</w:t>
                  </w:r>
                </w:p>
              </w:tc>
              <w:tc>
                <w:tcPr/>
                <w:p>
                  <w:pPr>
                    <w:pStyle w:val="Compact"/>
                    <w:jc w:val="center"/>
                    <w:jc w:val="center"/>
                  </w:pPr>
                  <m:oMath>
                    <m:r>
                      <m:rPr>
                        <m:sty m:val="b"/>
                      </m:rPr>
                      <m:t>+</m:t>
                    </m:r>
                    <m:r>
                      <m:rPr>
                        <m:sty m:val="b"/>
                      </m:rPr>
                      <m:t>0</m:t>
                    </m:r>
                    <m:r>
                      <m:rPr>
                        <m:sty m:val="b"/>
                      </m:rPr>
                      <m:t>,</m:t>
                    </m:r>
                    <m:r>
                      <m:rPr>
                        <m:sty m:val="b"/>
                      </m:rPr>
                      <m:t>3860</m:t>
                    </m:r>
                  </m:oMath>
                  <w:r>
                    <w:t xml:space="preserve">​</w:t>
                  </w:r>
                </w:p>
              </w:tc>
              <w:tc>
                <w:tcPr/>
                <w:p>
                  <w:pPr>
                    <w:pStyle w:val="Compact"/>
                    <w:jc w:val="center"/>
                    <w:jc w:val="center"/>
                  </w:pPr>
                  <m:oMath>
                    <m:r>
                      <m:rPr>
                        <m:sty m:val="b"/>
                      </m:rPr>
                      <m:t>12</m:t>
                    </m:r>
                  </m:oMath>
                  <w:r>
                    <w:t xml:space="preserve">​</w:t>
                  </w:r>
                </w:p>
              </w:tc>
            </w:tr>
            <w:tr>
              <w:tc>
                <w:tcPr/>
                <w:p>
                  <w:pPr>
                    <w:pStyle w:val="Compact"/>
                    <w:jc w:val="left"/>
                    <w:jc w:val="center"/>
                  </w:pPr>
                  <w:r>
                    <w:rPr>
                      <w:b/>
                      <w:bCs/>
                    </w:rPr>
                    <w:t xml:space="preserve">Chaco</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8305</m:t>
                    </m:r>
                    <m:r>
                      <m:t> </m:t>
                    </m:r>
                    <m:r>
                      <m:rPr>
                        <m:sty m:val="p"/>
                      </m:rPr>
                      <m:t>[</m:t>
                    </m:r>
                    <m:r>
                      <m:t>0</m:t>
                    </m:r>
                    <m:r>
                      <m:rPr>
                        <m:sty m:val="p"/>
                      </m:rPr>
                      <m:t>,</m:t>
                    </m:r>
                    <m:r>
                      <m:t>788</m:t>
                    </m:r>
                    <m:r>
                      <m:rPr>
                        <m:sty m:val="p"/>
                      </m:rPr>
                      <m:t>−</m:t>
                    </m:r>
                    <m:r>
                      <m:t>0</m:t>
                    </m:r>
                    <m:r>
                      <m:rPr>
                        <m:sty m:val="p"/>
                      </m:rPr>
                      <m:t>,</m:t>
                    </m:r>
                    <m:r>
                      <m:t>871</m:t>
                    </m:r>
                    <m:r>
                      <m:rPr>
                        <m:sty m:val="p"/>
                      </m:rPr>
                      <m:t>]</m:t>
                    </m:r>
                  </m:oMath>
                  <w:r>
                    <w:t xml:space="preserve">​</w:t>
                  </w:r>
                </w:p>
              </w:tc>
              <w:tc>
                <w:tcPr/>
                <w:p>
                  <w:pPr>
                    <w:pStyle w:val="Compact"/>
                    <w:jc w:val="center"/>
                    <w:jc w:val="center"/>
                  </w:pPr>
                  <m:oMath>
                    <m:r>
                      <m:rPr>
                        <m:sty m:val="b"/>
                      </m:rPr>
                      <m:t>0</m:t>
                    </m:r>
                    <m:r>
                      <m:rPr>
                        <m:sty m:val="b"/>
                      </m:rPr>
                      <m:t>,</m:t>
                    </m:r>
                    <m:r>
                      <m:rPr>
                        <m:sty m:val="b"/>
                      </m:rPr>
                      <m:t>5714</m:t>
                    </m:r>
                  </m:oMath>
                  <w:r>
                    <w:t xml:space="preserve">​</w:t>
                  </w:r>
                </w:p>
              </w:tc>
              <w:tc>
                <w:tcPr/>
                <w:p>
                  <w:pPr>
                    <w:pStyle w:val="Compact"/>
                    <w:jc w:val="center"/>
                    <w:jc w:val="center"/>
                  </w:pPr>
                  <m:oMath>
                    <m:r>
                      <m:rPr>
                        <m:sty m:val="b"/>
                      </m:rPr>
                      <m:t>0</m:t>
                    </m:r>
                    <m:r>
                      <m:rPr>
                        <m:sty m:val="b"/>
                      </m:rPr>
                      <m:t>,</m:t>
                    </m:r>
                    <m:r>
                      <m:rPr>
                        <m:sty m:val="b"/>
                      </m:rPr>
                      <m:t>0112</m:t>
                    </m:r>
                  </m:oMath>
                  <w:r>
                    <w:t xml:space="preserve">​</w:t>
                  </w:r>
                </w:p>
              </w:tc>
              <w:tc>
                <w:tcPr/>
                <w:p>
                  <w:pPr>
                    <w:pStyle w:val="Compact"/>
                    <w:jc w:val="center"/>
                    <w:jc w:val="center"/>
                  </w:pPr>
                  <m:oMath>
                    <m:r>
                      <m:rPr>
                        <m:sty m:val="b"/>
                      </m:rPr>
                      <m:t>+</m:t>
                    </m:r>
                    <m:r>
                      <m:rPr>
                        <m:sty m:val="b"/>
                      </m:rPr>
                      <m:t>0</m:t>
                    </m:r>
                    <m:r>
                      <m:rPr>
                        <m:sty m:val="b"/>
                      </m:rPr>
                      <m:t>,</m:t>
                    </m:r>
                    <m:r>
                      <m:rPr>
                        <m:sty m:val="b"/>
                      </m:rPr>
                      <m:t>3746</m:t>
                    </m:r>
                  </m:oMath>
                  <w:r>
                    <w:t xml:space="preserve">​</w:t>
                  </w:r>
                </w:p>
              </w:tc>
              <w:tc>
                <w:tcPr/>
                <w:p>
                  <w:pPr>
                    <w:pStyle w:val="Compact"/>
                    <w:jc w:val="center"/>
                    <w:jc w:val="center"/>
                  </w:pPr>
                  <m:oMath>
                    <m:r>
                      <m:rPr>
                        <m:sty m:val="b"/>
                      </m:rPr>
                      <m:t>62</m:t>
                    </m:r>
                  </m:oMath>
                  <w:r>
                    <w:t xml:space="preserve">​</w:t>
                  </w:r>
                </w:p>
              </w:tc>
            </w:tr>
            <w:tr>
              <w:tc>
                <w:tcPr/>
                <w:p>
                  <w:pPr>
                    <w:pStyle w:val="Compact"/>
                    <w:jc w:val="left"/>
                    <w:jc w:val="center"/>
                  </w:pPr>
                  <w:r>
                    <w:t xml:space="preserve">Chaco</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6457</m:t>
                    </m:r>
                    <m:r>
                      <m:t> </m:t>
                    </m:r>
                    <m:r>
                      <m:rPr>
                        <m:sty m:val="p"/>
                      </m:rPr>
                      <m:t>[</m:t>
                    </m:r>
                    <m:r>
                      <m:t>0</m:t>
                    </m:r>
                    <m:r>
                      <m:rPr>
                        <m:sty m:val="p"/>
                      </m:rPr>
                      <m:t>,</m:t>
                    </m:r>
                    <m:r>
                      <m:t>609</m:t>
                    </m:r>
                    <m:r>
                      <m:rPr>
                        <m:sty m:val="p"/>
                      </m:rPr>
                      <m:t>−</m:t>
                    </m:r>
                    <m:r>
                      <m:t>0</m:t>
                    </m:r>
                    <m:r>
                      <m:rPr>
                        <m:sty m:val="p"/>
                      </m:rPr>
                      <m:t>,</m:t>
                    </m:r>
                    <m:r>
                      <m:t>681</m:t>
                    </m:r>
                    <m:r>
                      <m:rPr>
                        <m:sty m:val="p"/>
                      </m:rPr>
                      <m:t>]</m:t>
                    </m:r>
                  </m:oMath>
                  <w:r>
                    <w:t xml:space="preserve">​</w:t>
                  </w:r>
                </w:p>
              </w:tc>
              <w:tc>
                <w:tcPr/>
                <w:p>
                  <w:pPr>
                    <w:pStyle w:val="Compact"/>
                    <w:jc w:val="center"/>
                    <w:jc w:val="center"/>
                  </w:pPr>
                  <m:oMath>
                    <m:r>
                      <m:t>0</m:t>
                    </m:r>
                    <m:r>
                      <m:rPr>
                        <m:sty m:val="p"/>
                      </m:rPr>
                      <m:t>,</m:t>
                    </m:r>
                    <m:r>
                      <m:t>1314</m:t>
                    </m:r>
                  </m:oMath>
                  <w:r>
                    <w:t xml:space="preserve">​</w:t>
                  </w:r>
                </w:p>
              </w:tc>
              <w:tc>
                <w:tcPr/>
                <w:p>
                  <w:pPr>
                    <w:pStyle w:val="Compact"/>
                    <w:jc w:val="center"/>
                    <w:jc w:val="center"/>
                  </w:pPr>
                  <m:oMath>
                    <m:r>
                      <m:t>0</m:t>
                    </m:r>
                    <m:r>
                      <m:rPr>
                        <m:sty m:val="p"/>
                      </m:rPr>
                      <m:t>,</m:t>
                    </m:r>
                    <m:r>
                      <m:t>7502</m:t>
                    </m:r>
                  </m:oMath>
                  <w:r>
                    <w:t xml:space="preserve">​</w:t>
                  </w:r>
                </w:p>
              </w:tc>
              <w:tc>
                <w:tcPr/>
                <w:p>
                  <w:pPr>
                    <w:pStyle w:val="Compact"/>
                    <w:jc w:val="center"/>
                    <w:jc w:val="center"/>
                  </w:pPr>
                  <m:oMath>
                    <m:r>
                      <m:rPr>
                        <m:sty m:val="p"/>
                      </m:rPr>
                      <m:t>−</m:t>
                    </m:r>
                    <m:r>
                      <m:t>8</m:t>
                    </m:r>
                    <m:r>
                      <m:rPr>
                        <m:sty m:val="p"/>
                      </m:rPr>
                      <m:t>,</m:t>
                    </m:r>
                    <m:r>
                      <m:t>0707</m:t>
                    </m:r>
                  </m:oMath>
                  <w:r>
                    <w:t xml:space="preserve">​</w:t>
                  </w:r>
                </w:p>
              </w:tc>
              <w:tc>
                <w:tcPr/>
                <w:p>
                  <w:pPr>
                    <w:pStyle w:val="Compact"/>
                    <w:jc w:val="center"/>
                    <w:jc w:val="center"/>
                  </w:pPr>
                  <m:oMath>
                    <m:r>
                      <m:t>750</m:t>
                    </m:r>
                  </m:oMath>
                  <w:r>
                    <w:t xml:space="preserve">​</w:t>
                  </w:r>
                </w:p>
              </w:tc>
            </w:tr>
            <w:tr>
              <w:tc>
                <w:tcPr/>
                <w:p>
                  <w:pPr>
                    <w:pStyle w:val="Compact"/>
                    <w:jc w:val="left"/>
                    <w:jc w:val="center"/>
                  </w:pPr>
                  <w:r>
                    <w:t xml:space="preserve">Chaco</w:t>
                  </w:r>
                </w:p>
              </w:tc>
              <w:tc>
                <w:tcPr/>
                <w:p>
                  <w:pPr>
                    <w:pStyle w:val="Compact"/>
                    <w:jc w:val="left"/>
                    <w:jc w:val="center"/>
                  </w:pPr>
                  <w:r>
                    <w:t xml:space="preserve">Canadian FWI Puro (ISI)</w:t>
                  </w:r>
                </w:p>
              </w:tc>
              <w:tc>
                <w:tcPr/>
                <w:p>
                  <w:pPr>
                    <w:pStyle w:val="Compact"/>
                    <w:jc w:val="center"/>
                    <w:jc w:val="center"/>
                  </w:pPr>
                  <m:oMath>
                    <m:r>
                      <m:t>0</m:t>
                    </m:r>
                    <m:r>
                      <m:rPr>
                        <m:sty m:val="p"/>
                      </m:rPr>
                      <m:t>,</m:t>
                    </m:r>
                    <m:r>
                      <m:t>5432</m:t>
                    </m:r>
                    <m:r>
                      <m:t> </m:t>
                    </m:r>
                    <m:r>
                      <m:rPr>
                        <m:sty m:val="p"/>
                      </m:rPr>
                      <m:t>[</m:t>
                    </m:r>
                    <m:r>
                      <m:t>0</m:t>
                    </m:r>
                    <m:r>
                      <m:rPr>
                        <m:sty m:val="p"/>
                      </m:rPr>
                      <m:t>,</m:t>
                    </m:r>
                    <m:r>
                      <m:t>505</m:t>
                    </m:r>
                    <m:r>
                      <m:rPr>
                        <m:sty m:val="p"/>
                      </m:rPr>
                      <m:t>−</m:t>
                    </m:r>
                    <m:r>
                      <m:t>0</m:t>
                    </m:r>
                    <m:r>
                      <m:rPr>
                        <m:sty m:val="p"/>
                      </m:rPr>
                      <m:t>,</m:t>
                    </m:r>
                    <m:r>
                      <m:t>581</m:t>
                    </m:r>
                    <m:r>
                      <m:rPr>
                        <m:sty m:val="p"/>
                      </m:rPr>
                      <m:t>]</m:t>
                    </m:r>
                  </m:oMath>
                  <w:r>
                    <w:t xml:space="preserve">​</w:t>
                  </w:r>
                </w:p>
              </w:tc>
              <w:tc>
                <w:tcPr/>
                <w:p>
                  <w:pPr>
                    <w:pStyle w:val="Compact"/>
                    <w:jc w:val="center"/>
                    <w:jc w:val="center"/>
                  </w:pPr>
                  <m:oMath>
                    <m:r>
                      <m:t>0</m:t>
                    </m:r>
                    <m:r>
                      <m:rPr>
                        <m:sty m:val="p"/>
                      </m:rPr>
                      <m:t>,</m:t>
                    </m:r>
                    <m:r>
                      <m:t>0967</m:t>
                    </m:r>
                  </m:oMath>
                  <w:r>
                    <w:t xml:space="preserve">​</w:t>
                  </w:r>
                </w:p>
              </w:tc>
              <w:tc>
                <w:tcPr/>
                <w:p>
                  <w:pPr>
                    <w:pStyle w:val="Compact"/>
                    <w:jc w:val="center"/>
                    <w:jc w:val="center"/>
                  </w:pPr>
                  <m:oMath>
                    <m:r>
                      <m:t>0</m:t>
                    </m:r>
                    <m:r>
                      <m:rPr>
                        <m:sty m:val="p"/>
                      </m:rPr>
                      <m:t>,</m:t>
                    </m:r>
                    <m:r>
                      <m:t>2357</m:t>
                    </m:r>
                  </m:oMath>
                  <w:r>
                    <w:t xml:space="preserve">​</w:t>
                  </w:r>
                </w:p>
              </w:tc>
              <w:tc>
                <w:tcPr/>
                <w:p>
                  <w:pPr>
                    <w:pStyle w:val="Compact"/>
                    <w:jc w:val="center"/>
                    <w:jc w:val="center"/>
                  </w:pPr>
                  <m:oMath>
                    <m:r>
                      <m:rPr>
                        <m:sty m:val="p"/>
                      </m:rPr>
                      <m:t>−</m:t>
                    </m:r>
                    <m:r>
                      <m:t>0</m:t>
                    </m:r>
                    <m:r>
                      <m:rPr>
                        <m:sty m:val="p"/>
                      </m:rPr>
                      <m:t>,</m:t>
                    </m:r>
                    <m:r>
                      <m:t>9321</m:t>
                    </m:r>
                  </m:oMath>
                  <w:r>
                    <w:t xml:space="preserve">​</w:t>
                  </w:r>
                </w:p>
              </w:tc>
              <w:tc>
                <w:tcPr/>
                <w:p>
                  <w:pPr>
                    <w:pStyle w:val="Compact"/>
                    <w:jc w:val="center"/>
                    <w:jc w:val="center"/>
                  </w:pPr>
                  <m:oMath>
                    <m:r>
                      <m:t>1.026</m:t>
                    </m:r>
                  </m:oMath>
                  <w:r>
                    <w:t xml:space="preserve">​</w:t>
                  </w:r>
                </w:p>
              </w:tc>
            </w:tr>
            <w:tr>
              <w:tc>
                <w:tcPr/>
                <w:p>
                  <w:pPr>
                    <w:pStyle w:val="Compact"/>
                    <w:jc w:val="left"/>
                    <w:jc w:val="center"/>
                  </w:pPr>
                  <w:r>
                    <w:t xml:space="preserve">Chaco</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r>
                      <m:t> </m:t>
                    </m:r>
                    <m:r>
                      <m:rPr>
                        <m:sty m:val="p"/>
                      </m:rPr>
                      <m:t>[</m:t>
                    </m:r>
                    <m:r>
                      <m:t>0</m:t>
                    </m:r>
                    <m:r>
                      <m:rPr>
                        <m:sty m:val="p"/>
                      </m:rPr>
                      <m:t>,</m:t>
                    </m:r>
                    <m:r>
                      <m:t>500</m:t>
                    </m:r>
                    <m:r>
                      <m:rPr>
                        <m:sty m:val="p"/>
                      </m:rPr>
                      <m:t>−</m:t>
                    </m:r>
                    <m:r>
                      <m:t>0</m:t>
                    </m:r>
                    <m:r>
                      <m:rPr>
                        <m:sty m:val="p"/>
                      </m:rPr>
                      <m:t>,</m:t>
                    </m:r>
                    <m:r>
                      <m:t>500</m:t>
                    </m:r>
                    <m:r>
                      <m:rPr>
                        <m:sty m:val="p"/>
                      </m:rPr>
                      <m:t>]</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m:oMath>
                    <m:r>
                      <m:t>0</m:t>
                    </m:r>
                    <m:r>
                      <m:rPr>
                        <m:sty m:val="p"/>
                      </m:rPr>
                      <m:t>,</m:t>
                    </m:r>
                    <m:r>
                      <m:t>0000</m:t>
                    </m:r>
                  </m:oMath>
                  <w:r>
                    <w:t xml:space="preserve">​</w:t>
                  </w:r>
                </w:p>
              </w:tc>
              <w:tc>
                <w:tcPr/>
                <w:p>
                  <w:pPr>
                    <w:pStyle w:val="Compact"/>
                    <w:jc w:val="center"/>
                    <w:jc w:val="center"/>
                  </w:pPr>
                  <m:oMath>
                    <m:r>
                      <m:t>0</m:t>
                    </m:r>
                    <m:r>
                      <m:rPr>
                        <m:sty m:val="p"/>
                      </m:rPr>
                      <m:t>,</m:t>
                    </m:r>
                    <m:r>
                      <m:t>0000</m:t>
                    </m:r>
                  </m:oMath>
                  <w:r>
                    <w:t xml:space="preserve">​</w:t>
                  </w:r>
                </w:p>
              </w:tc>
              <w:tc>
                <w:tcPr/>
                <w:p>
                  <w:pPr>
                    <w:pStyle w:val="Compact"/>
                    <w:jc w:val="center"/>
                    <w:jc w:val="center"/>
                  </w:pPr>
                  <m:oMath>
                    <m:r>
                      <m:t>0</m:t>
                    </m:r>
                  </m:oMath>
                  <w:r>
                    <w:t xml:space="preserve">​</w:t>
                  </w:r>
                </w:p>
              </w:tc>
            </w:tr>
          </w:tbl>
          <w:bookmarkEnd w:id="55"/>
          <w:p/>
        </w:tc>
      </w:tr>
    </w:tbl>
    <w:p>
      <w:pPr>
        <w:pStyle w:val="BodyText"/>
      </w:pPr>
      <w:r>
        <w:t xml:space="preserve">Las pruebas de significancia estadística pareada mediante remuestreo bootstrap (</w:t>
      </w:r>
      <m:oMath>
        <m:r>
          <m:t>B</m:t>
        </m:r>
        <m:r>
          <m:rPr>
            <m:sty m:val="p"/>
          </m:rPr>
          <m:t>=</m:t>
        </m:r>
        <m:r>
          <m:t>1.000</m:t>
        </m:r>
      </m:oMath>
      <w:r>
        <w:t xml:space="preserve">) confirman que la superioridad de</w:t>
      </w:r>
      <w:r>
        <w:t xml:space="preserve"> </w:t>
      </w:r>
      <w:r>
        <w:rPr>
          <w:rStyle w:val="VerbatimChar"/>
        </w:rPr>
        <w:t xml:space="preserve">Incendios_PY</w:t>
      </w:r>
      <w:r>
        <w:t xml:space="preserve"> </w:t>
      </w:r>
      <w:r>
        <w:t xml:space="preserve">sobre los índices canónicos es contundente y no atribuible al azar:</w:t>
      </w:r>
      <w:r>
        <w:t xml:space="preserve"> </w:t>
      </w:r>
      <w:r>
        <w:t xml:space="preserve">- En el</w:t>
      </w:r>
      <w:r>
        <w:t xml:space="preserve"> </w:t>
      </w:r>
      <w:r>
        <w:rPr>
          <w:b/>
          <w:bCs/>
        </w:rPr>
        <w:t xml:space="preserve">Gran Chaco</w:t>
      </w:r>
      <w:r>
        <w:t xml:space="preserve">, la diferencia de discriminación frente al Canadian FWI (</w:t>
      </w:r>
      <m:oMath>
        <m:r>
          <m:rPr>
            <m:sty m:val="p"/>
          </m:rPr>
          <m:t>Δ</m:t>
        </m:r>
        <m:r>
          <m:rPr>
            <m:nor/>
            <m:sty m:val="p"/>
          </m:rPr>
          <m:t>ROC</m:t>
        </m:r>
        <m:r>
          <m:rPr>
            <m:sty m:val="p"/>
          </m:rPr>
          <m:t>=</m:t>
        </m:r>
        <m:r>
          <m:rPr>
            <m:sty m:val="p"/>
          </m:rPr>
          <m:t>+</m:t>
        </m:r>
        <m:r>
          <m:t>0</m:t>
        </m:r>
        <m:r>
          <m:rPr>
            <m:sty m:val="p"/>
          </m:rPr>
          <m:t>,</m:t>
        </m:r>
        <m:r>
          <m:t>2879</m:t>
        </m:r>
      </m:oMath>
      <w:r>
        <w:t xml:space="preserve">) y frente al INPE Risco de Fogo (</w:t>
      </w:r>
      <m:oMath>
        <m:r>
          <m:rPr>
            <m:sty m:val="p"/>
          </m:rPr>
          <m:t>Δ</m:t>
        </m:r>
        <m:r>
          <m:rPr>
            <m:nor/>
            <m:sty m:val="p"/>
          </m:rPr>
          <m:t>ROC</m:t>
        </m:r>
        <m:r>
          <m:rPr>
            <m:sty m:val="p"/>
          </m:rPr>
          <m:t>=</m:t>
        </m:r>
        <m:r>
          <m:rPr>
            <m:sty m:val="p"/>
          </m:rPr>
          <m:t>+</m:t>
        </m:r>
        <m:r>
          <m:t>0</m:t>
        </m:r>
        <m:r>
          <m:rPr>
            <m:sty m:val="p"/>
          </m:rPr>
          <m:t>,</m:t>
        </m:r>
        <m:r>
          <m:t>2017</m:t>
        </m:r>
      </m:oMath>
      <w:r>
        <w:t xml:space="preserve">) es altamente significativa (</w:t>
      </w:r>
      <m:oMath>
        <m:r>
          <m:t>p</m:t>
        </m:r>
        <m:r>
          <m:rPr>
            <m:sty m:val="p"/>
          </m:rPr>
          <m:t>&lt;</m:t>
        </m:r>
        <m:r>
          <m:t>0</m:t>
        </m:r>
        <m:r>
          <m:rPr>
            <m:sty m:val="p"/>
          </m:rPr>
          <m:t>,</m:t>
        </m:r>
        <m:r>
          <m:t>0001</m:t>
        </m:r>
      </m:oMath>
      <w:r>
        <w:t xml:space="preserve"> </w:t>
      </w:r>
      <w:r>
        <w:t xml:space="preserve">en ambos contrastes bilaterales). Asimismo, mientras el INPE exhibe un</w:t>
      </w:r>
      <w:r>
        <w:t xml:space="preserve"> </w:t>
      </w:r>
      <m:oMath>
        <m:r>
          <m:t>E</m:t>
        </m:r>
        <m:r>
          <m:t>C</m:t>
        </m:r>
        <m:r>
          <m:t>E</m:t>
        </m:r>
      </m:oMath>
      <w:r>
        <w:t xml:space="preserve"> </w:t>
      </w:r>
      <w:r>
        <w:t xml:space="preserve">de</w:t>
      </w:r>
      <w:r>
        <w:t xml:space="preserve"> </w:t>
      </w:r>
      <m:oMath>
        <m:r>
          <m:t>0</m:t>
        </m:r>
        <m:r>
          <m:rPr>
            <m:sty m:val="p"/>
          </m:rPr>
          <m:t>,</m:t>
        </m:r>
        <m:r>
          <m:t>7502</m:t>
        </m:r>
      </m:oMath>
      <w:r>
        <w:t xml:space="preserve"> </w:t>
      </w:r>
      <w:r>
        <w:t xml:space="preserve">y el FWI de</w:t>
      </w:r>
      <w:r>
        <w:t xml:space="preserve"> </w:t>
      </w:r>
      <m:oMath>
        <m:r>
          <m:t>0</m:t>
        </m:r>
        <m:r>
          <m:rPr>
            <m:sty m:val="p"/>
          </m:rPr>
          <m:t>,</m:t>
        </m:r>
        <m:r>
          <m:t>2357</m:t>
        </m:r>
      </m:oMath>
      <w:r>
        <w:t xml:space="preserve">,</w:t>
      </w:r>
      <w:r>
        <w:t xml:space="preserve"> </w:t>
      </w:r>
      <w:r>
        <w:rPr>
          <w:rStyle w:val="VerbatimChar"/>
        </w:rPr>
        <w:t xml:space="preserve">Incendios_PY</w:t>
      </w:r>
      <w:r>
        <w:t xml:space="preserve"> </w:t>
      </w:r>
      <w:r>
        <w:t xml:space="preserve">mantiene un</w:t>
      </w:r>
      <w:r>
        <w:t xml:space="preserve"> </w:t>
      </w:r>
      <m:oMath>
        <m:r>
          <m:t>E</m:t>
        </m:r>
        <m:r>
          <m:t>C</m:t>
        </m:r>
        <m:r>
          <m:t>E</m:t>
        </m:r>
      </m:oMath>
      <w:r>
        <w:t xml:space="preserve"> </w:t>
      </w:r>
      <w:r>
        <w:t xml:space="preserve">de apenas</w:t>
      </w:r>
      <w:r>
        <w:t xml:space="preserve"> </w:t>
      </w:r>
      <m:oMath>
        <m:r>
          <m:t>0</m:t>
        </m:r>
        <m:r>
          <m:rPr>
            <m:sty m:val="p"/>
          </m:rPr>
          <m:t>,</m:t>
        </m:r>
        <m:r>
          <m:t>0112</m:t>
        </m:r>
      </m:oMath>
      <w:r>
        <w:t xml:space="preserve">.</w:t>
      </w:r>
      <w:r>
        <w:t xml:space="preserve"> </w:t>
      </w:r>
      <w:r>
        <w:t xml:space="preserve">- En la</w:t>
      </w:r>
      <w:r>
        <w:t xml:space="preserve"> </w:t>
      </w:r>
      <w:r>
        <w:rPr>
          <w:b/>
          <w:bCs/>
        </w:rPr>
        <w:t xml:space="preserve">Región Oriental</w:t>
      </w:r>
      <w:r>
        <w:t xml:space="preserve">, la brecha frente al FWI (</w:t>
      </w:r>
      <m:oMath>
        <m:r>
          <m:rPr>
            <m:sty m:val="p"/>
          </m:rPr>
          <m:t>Δ</m:t>
        </m:r>
        <m:r>
          <m:rPr>
            <m:nor/>
            <m:sty m:val="p"/>
          </m:rPr>
          <m:t>ROC</m:t>
        </m:r>
        <m:r>
          <m:rPr>
            <m:sty m:val="p"/>
          </m:rPr>
          <m:t>=</m:t>
        </m:r>
        <m:r>
          <m:rPr>
            <m:sty m:val="p"/>
          </m:rPr>
          <m:t>+</m:t>
        </m:r>
        <m:r>
          <m:t>0</m:t>
        </m:r>
        <m:r>
          <m:rPr>
            <m:sty m:val="p"/>
          </m:rPr>
          <m:t>,</m:t>
        </m:r>
        <m:r>
          <m:t>3238</m:t>
        </m:r>
      </m:oMath>
      <w:r>
        <w:t xml:space="preserve">,</w:t>
      </w:r>
      <w:r>
        <w:t xml:space="preserve"> </w:t>
      </w:r>
      <m:oMath>
        <m:r>
          <m:t>p</m:t>
        </m:r>
        <m:r>
          <m:rPr>
            <m:sty m:val="p"/>
          </m:rPr>
          <m:t>&lt;</m:t>
        </m:r>
        <m:r>
          <m:t>0</m:t>
        </m:r>
        <m:r>
          <m:rPr>
            <m:sty m:val="p"/>
          </m:rPr>
          <m:t>,</m:t>
        </m:r>
        <m:r>
          <m:t>0001</m:t>
        </m:r>
      </m:oMath>
      <w:r>
        <w:t xml:space="preserve">) y frente al INPE (</w:t>
      </w:r>
      <m:oMath>
        <m:r>
          <m:rPr>
            <m:sty m:val="p"/>
          </m:rPr>
          <m:t>Δ</m:t>
        </m:r>
        <m:r>
          <m:rPr>
            <m:nor/>
            <m:sty m:val="p"/>
          </m:rPr>
          <m:t>ROC</m:t>
        </m:r>
        <m:r>
          <m:rPr>
            <m:sty m:val="p"/>
          </m:rPr>
          <m:t>=</m:t>
        </m:r>
        <m:r>
          <m:rPr>
            <m:sty m:val="p"/>
          </m:rPr>
          <m:t>+</m:t>
        </m:r>
        <m:r>
          <m:t>0</m:t>
        </m:r>
        <m:r>
          <m:rPr>
            <m:sty m:val="p"/>
          </m:rPr>
          <m:t>,</m:t>
        </m:r>
        <m:r>
          <m:t>2001</m:t>
        </m:r>
      </m:oMath>
      <w:r>
        <w:t xml:space="preserve">,</w:t>
      </w:r>
      <w:r>
        <w:t xml:space="preserve"> </w:t>
      </w:r>
      <m:oMath>
        <m:r>
          <m:t>p</m:t>
        </m:r>
        <m:r>
          <m:rPr>
            <m:sty m:val="p"/>
          </m:rPr>
          <m:t>=</m:t>
        </m:r>
        <m:r>
          <m:t>0</m:t>
        </m:r>
        <m:r>
          <m:rPr>
            <m:sty m:val="p"/>
          </m:rPr>
          <m:t>,</m:t>
        </m:r>
        <m:r>
          <m:t>0010</m:t>
        </m:r>
      </m:oMath>
      <w:r>
        <w:t xml:space="preserve">) certifica que los índices tradicionales invierten la escala de riesgo en el régimen subtropical húmedo, con errores de calibración que superan el</w:t>
      </w:r>
      <w:r>
        <w:t xml:space="preserve"> </w:t>
      </w:r>
      <m:oMath>
        <m:r>
          <m:t>43</m:t>
        </m:r>
        <m:r>
          <m:rPr>
            <m:nor/>
            <m:sty m:val="p"/>
          </m:rPr>
          <m:t> %</m:t>
        </m:r>
      </m:oMath>
      <w:r>
        <w:t xml:space="preserve"> </w:t>
      </w:r>
      <w:r>
        <w:t xml:space="preserve">y</w:t>
      </w:r>
      <w:r>
        <w:t xml:space="preserve"> </w:t>
      </w:r>
      <m:oMath>
        <m:r>
          <m:t>76</m:t>
        </m:r>
        <m:r>
          <m:rPr>
            <m:nor/>
            <m:sty m:val="p"/>
          </m:rPr>
          <m:t> %</m:t>
        </m:r>
      </m:oMath>
      <w:r>
        <w:t xml:space="preserve">, frente a apenas</w:t>
      </w:r>
      <w:r>
        <w:t xml:space="preserve"> </w:t>
      </w:r>
      <m:oMath>
        <m:r>
          <m:t>1</m:t>
        </m:r>
        <m:r>
          <m:rPr>
            <m:sty m:val="p"/>
          </m:rPr>
          <m:t>,</m:t>
        </m:r>
        <m:r>
          <m:t>06</m:t>
        </m:r>
        <m:r>
          <m:rPr>
            <m:nor/>
            <m:sty m:val="p"/>
          </m:rPr>
          <m:t> %</m:t>
        </m:r>
      </m:oMath>
      <w:r>
        <w:t xml:space="preserve"> </w:t>
      </w:r>
      <w:r>
        <w:t xml:space="preserve">en</w:t>
      </w:r>
      <w:r>
        <w:t xml:space="preserve"> </w:t>
      </w:r>
      <w:r>
        <w:rPr>
          <w:rStyle w:val="VerbatimChar"/>
        </w:rPr>
        <w:t xml:space="preserve">Incendios_PY</w:t>
      </w:r>
      <w:r>
        <w:t xml:space="preserve">.</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9" w:name="fig-benchmark-curvas"/>
          <w:p>
            <w:pPr>
              <w:pStyle w:val="Compact"/>
              <w:jc w:val="center"/>
            </w:pPr>
            <w:r>
              <w:drawing>
                <wp:inline>
                  <wp:extent cx="5334000" cy="4191000"/>
                  <wp:effectExtent b="0" l="0" r="0" t="0"/>
                  <wp:docPr descr="" title="" id="57" name="Picture"/>
                  <a:graphic>
                    <a:graphicData uri="http://schemas.openxmlformats.org/drawingml/2006/picture">
                      <pic:pic>
                        <pic:nvPicPr>
                          <pic:cNvPr descr="figuras/fig05_benchmarking_curvas_roc_pr.png" id="58" name="Picture"/>
                          <pic:cNvPicPr>
                            <a:picLocks noChangeArrowheads="1" noChangeAspect="1"/>
                          </pic:cNvPicPr>
                        </pic:nvPicPr>
                        <pic:blipFill>
                          <a:blip r:embed="rId56"/>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9"/>
        </w:tc>
      </w:tr>
    </w:tbl>
    <w:bookmarkEnd w:id="60"/>
    <w:bookmarkStart w:id="66"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61"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 obtenidos con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279</m:t>
                    </m:r>
                  </m:oMath>
                  <w:r>
                    <w:t xml:space="preserve">]</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397</m:t>
                    </m:r>
                  </m:oMath>
                  <w:r>
                    <w:t xml:space="preserve">]</w:t>
                  </w:r>
                </w:p>
              </w:tc>
            </w:tr>
            <w:tr>
              <w:tc>
                <w:tcPr/>
                <w:p>
                  <w:pPr>
                    <w:pStyle w:val="Compact"/>
                    <w:jc w:val="center"/>
                    <w:jc w:val="center"/>
                  </w:pPr>
                  <w:r>
                    <w:rPr>
                      <w:b/>
                      <w:bCs/>
                    </w:rPr>
                    <w:t xml:space="preserve">2</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125</m:t>
                    </m:r>
                  </m:oMath>
                  <w:r>
                    <w:t xml:space="preserve">]</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143</m:t>
                    </m:r>
                  </m:oMath>
                  <w:r>
                    <w:t xml:space="preserve">]</w:t>
                  </w:r>
                </w:p>
              </w:tc>
            </w:tr>
            <w:tr>
              <w:tc>
                <w:tcPr/>
                <w:p>
                  <w:pPr>
                    <w:pStyle w:val="Compact"/>
                    <w:jc w:val="center"/>
                    <w:jc w:val="center"/>
                  </w:pPr>
                  <w:r>
                    <w:rPr>
                      <w:b/>
                      <w:bCs/>
                    </w:rPr>
                    <w:t xml:space="preserve">3</w:t>
                  </w:r>
                </w:p>
              </w:tc>
              <w:tc>
                <w:tcPr/>
                <w:p>
                  <w:pPr>
                    <w:pStyle w:val="Compact"/>
                    <w:jc w:val="left"/>
                    <w:jc w:val="center"/>
                  </w:pPr>
                  <w:r>
                    <w:t xml:space="preserve">Presión Dinámica del Viento (</w:t>
                  </w:r>
                  <m:oMath>
                    <m:sSup>
                      <m:e>
                        <m:r>
                          <m:t>v</m:t>
                        </m:r>
                      </m:e>
                      <m:sup>
                        <m:r>
                          <m:t>2</m:t>
                        </m:r>
                      </m:sup>
                    </m:sSup>
                  </m:oMath>
                  <w:r>
                    <w:t xml:space="preserve">) [</w:t>
                  </w:r>
                  <m:oMath>
                    <m:r>
                      <m:t>0</m:t>
                    </m:r>
                    <m:r>
                      <m:rPr>
                        <m:sty m:val="p"/>
                      </m:rPr>
                      <m:t>,</m:t>
                    </m:r>
                    <m:r>
                      <m:t>024</m:t>
                    </m:r>
                  </m:oMath>
                  <w:r>
                    <w:t xml:space="preserve">]</w:t>
                  </w:r>
                </w:p>
              </w:tc>
              <w:tc>
                <w:tcPr/>
                <w:p>
                  <w:pPr>
                    <w:pStyle w:val="Compact"/>
                    <w:jc w:val="left"/>
                    <w:jc w:val="center"/>
                  </w:pPr>
                  <w:r>
                    <w:t xml:space="preserve">Humedad de Combustible Fino (</w:t>
                  </w:r>
                  <m:oMath>
                    <m:r>
                      <m:t>F</m:t>
                    </m:r>
                    <m:r>
                      <m:t>F</m:t>
                    </m:r>
                    <m:r>
                      <m:t>M</m:t>
                    </m:r>
                    <m:r>
                      <m:t>C</m:t>
                    </m:r>
                  </m:oMath>
                  <w:r>
                    <w:t xml:space="preserve">) [</w:t>
                  </w:r>
                  <m:oMath>
                    <m:r>
                      <m:t>0</m:t>
                    </m:r>
                    <m:r>
                      <m:rPr>
                        <m:sty m:val="p"/>
                      </m:rPr>
                      <m:t>,</m:t>
                    </m:r>
                    <m:r>
                      <m:t>021</m:t>
                    </m:r>
                  </m:oMath>
                  <w:r>
                    <w:t xml:space="preserve">]</w:t>
                  </w:r>
                </w:p>
              </w:tc>
            </w:tr>
            <w:tr>
              <w:tc>
                <w:tcPr/>
                <w:p>
                  <w:pPr>
                    <w:pStyle w:val="Compact"/>
                    <w:jc w:val="center"/>
                    <w:jc w:val="center"/>
                  </w:pPr>
                  <w:r>
                    <w:rPr>
                      <w:b/>
                      <w:bCs/>
                    </w:rPr>
                    <w:t xml:space="preserve">4</w:t>
                  </w:r>
                </w:p>
              </w:tc>
              <w:tc>
                <w:tcPr/>
                <w:p>
                  <w:pPr>
                    <w:pStyle w:val="Compact"/>
                    <w:jc w:val="left"/>
                    <w:jc w:val="center"/>
                  </w:pPr>
                  <w:r>
                    <w:t xml:space="preserve">Temperatura Mínima (</w:t>
                  </w:r>
                  <m:oMath>
                    <m:sSub>
                      <m:e>
                        <m:r>
                          <m:t>T</m:t>
                        </m:r>
                      </m:e>
                      <m:sub>
                        <m:r>
                          <m:rPr>
                            <m:nor/>
                            <m:sty m:val="p"/>
                          </m:rPr>
                          <m:t>min</m:t>
                        </m:r>
                      </m:sub>
                    </m:sSub>
                  </m:oMath>
                  <w:r>
                    <w:t xml:space="preserve">) [</w:t>
                  </w:r>
                  <m:oMath>
                    <m:r>
                      <m:t>0</m:t>
                    </m:r>
                    <m:r>
                      <m:rPr>
                        <m:sty m:val="p"/>
                      </m:rPr>
                      <m:t>,</m:t>
                    </m:r>
                    <m:r>
                      <m:t>004</m:t>
                    </m:r>
                  </m:oMath>
                  <w:r>
                    <w:t xml:space="preserve">]</w:t>
                  </w:r>
                </w:p>
              </w:tc>
              <w:tc>
                <w:tcPr/>
                <w:p>
                  <w:pPr>
                    <w:pStyle w:val="Compact"/>
                    <w:jc w:val="left"/>
                    <w:jc w:val="center"/>
                  </w:pPr>
                  <w:r>
                    <w:t xml:space="preserve">Temperatura Máxima (</w:t>
                  </w:r>
                  <m:oMath>
                    <m:sSub>
                      <m:e>
                        <m:r>
                          <m:t>T</m:t>
                        </m:r>
                      </m:e>
                      <m:sub>
                        <m:r>
                          <m:rPr>
                            <m:nor/>
                            <m:sty m:val="p"/>
                          </m:rPr>
                          <m:t>max</m:t>
                        </m:r>
                      </m:sub>
                    </m:sSub>
                  </m:oMath>
                  <w:r>
                    <w:t xml:space="preserve">) [</w:t>
                  </w:r>
                  <m:oMath>
                    <m:r>
                      <m:t>0</m:t>
                    </m:r>
                    <m:r>
                      <m:rPr>
                        <m:sty m:val="p"/>
                      </m:rPr>
                      <m:t>,</m:t>
                    </m:r>
                    <m:r>
                      <m:t>014</m:t>
                    </m:r>
                  </m:oMath>
                  <w:r>
                    <w:t xml:space="preserve">]</w:t>
                  </w:r>
                </w:p>
              </w:tc>
            </w:tr>
            <w:tr>
              <w:tc>
                <w:tcPr/>
                <w:p>
                  <w:pPr>
                    <w:pStyle w:val="Compact"/>
                    <w:jc w:val="center"/>
                    <w:jc w:val="center"/>
                  </w:pPr>
                  <w:r>
                    <w:rPr>
                      <w:b/>
                      <w:bCs/>
                    </w:rPr>
                    <w:t xml:space="preserve">5</w:t>
                  </w:r>
                </w:p>
              </w:tc>
              <w:tc>
                <w:tcPr/>
                <w:p>
                  <w:pPr>
                    <w:pStyle w:val="Compact"/>
                    <w:jc w:val="left"/>
                    <w:jc w:val="center"/>
                  </w:pPr>
                  <w:r>
                    <w:t xml:space="preserve">Ráfaga Máxima de Viento (</w:t>
                  </w:r>
                  <m:oMath>
                    <m:sSub>
                      <m:e>
                        <m:r>
                          <m:t>V</m:t>
                        </m:r>
                      </m:e>
                      <m:sub>
                        <m:r>
                          <m:rPr>
                            <m:nor/>
                            <m:sty m:val="p"/>
                          </m:rPr>
                          <m:t>ráfaga</m:t>
                        </m:r>
                      </m:sub>
                    </m:sSub>
                  </m:oMath>
                  <w:r>
                    <w:t xml:space="preserve">) [</w:t>
                  </w:r>
                  <m:oMath>
                    <m:r>
                      <m:t>0</m:t>
                    </m:r>
                    <m:r>
                      <m:rPr>
                        <m:sty m:val="p"/>
                      </m:rPr>
                      <m:t>,</m:t>
                    </m:r>
                    <m:r>
                      <m:t>003</m:t>
                    </m:r>
                  </m:oMath>
                  <w:r>
                    <w:t xml:space="preserve">]</w:t>
                  </w:r>
                </w:p>
              </w:tc>
              <w:tc>
                <w:tcPr/>
                <w:p>
                  <w:pPr>
                    <w:pStyle w:val="Compact"/>
                    <w:jc w:val="left"/>
                    <w:jc w:val="center"/>
                  </w:pPr>
                  <w:r>
                    <w:t xml:space="preserve">Índice Propagación Inicial FWI (</w:t>
                  </w:r>
                  <m:oMath>
                    <m:r>
                      <m:t>I</m:t>
                    </m:r>
                    <m:r>
                      <m:t>S</m:t>
                    </m:r>
                    <m:r>
                      <m:t>I</m:t>
                    </m:r>
                  </m:oMath>
                  <w:r>
                    <w:t xml:space="preserve">) [</w:t>
                  </w:r>
                  <m:oMath>
                    <m:r>
                      <m:t>0</m:t>
                    </m:r>
                    <m:r>
                      <m:rPr>
                        <m:sty m:val="p"/>
                      </m:rPr>
                      <m:t>,</m:t>
                    </m:r>
                    <m:r>
                      <m:t>010</m:t>
                    </m:r>
                  </m:oMath>
                  <w:r>
                    <w:t xml:space="preserve">]</w:t>
                  </w:r>
                </w:p>
              </w:tc>
            </w:tr>
          </w:tbl>
          <w:bookmarkEnd w:id="61"/>
          <w:p/>
        </w:tc>
      </w:tr>
    </w:tbl>
    <w:p>
      <w:pPr>
        <w:pStyle w:val="BodyText"/>
      </w:pPr>
      <w:r>
        <w:t xml:space="preserve">En ambas macro-regiones, la incorporación del prior de susceptibilidad espacial histórica (distancia y densidad kernel calculadas rigurosamente sobre el conjunto de entrenamiento sin fuga temporal) actúa como ancla geográfica fundamental (</w:t>
      </w:r>
      <m:oMath>
        <m:r>
          <m:rPr>
            <m:sty m:val="p"/>
          </m:rPr>
          <m:t>|</m:t>
        </m:r>
        <m:r>
          <m:rPr>
            <m:nor/>
            <m:sty m:val="p"/>
          </m:rPr>
          <m:t>SHAP</m:t>
        </m:r>
        <m:r>
          <m:rPr>
            <m:sty m:val="p"/>
          </m:rPr>
          <m:t>|</m:t>
        </m:r>
        <m:r>
          <m:rPr>
            <m:sty m:val="p"/>
          </m:rPr>
          <m:t>&gt;</m:t>
        </m:r>
        <m:r>
          <m:t>0</m:t>
        </m:r>
        <m:r>
          <m:rPr>
            <m:sty m:val="p"/>
          </m:rPr>
          <m:t>,</m:t>
        </m:r>
        <m:r>
          <m:t>27</m:t>
        </m:r>
      </m:oMath>
      <w:r>
        <w:t xml:space="preserve">). En el</w:t>
      </w:r>
      <w:r>
        <w:t xml:space="preserve"> </w:t>
      </w:r>
      <w:r>
        <w:rPr>
          <w:b/>
          <w:bCs/>
        </w:rPr>
        <w:t xml:space="preserve">Chaco</w:t>
      </w:r>
      <w:r>
        <w:t xml:space="preserve">, los detonantes meteorológicos principales corresponden a la</w:t>
      </w:r>
      <w:r>
        <w:t xml:space="preserve"> </w:t>
      </w:r>
      <w:r>
        <w:rPr>
          <w:b/>
          <w:bCs/>
        </w:rPr>
        <w:t xml:space="preserve">presión dinámica cuadrática del viento</w:t>
      </w:r>
      <w:r>
        <w:t xml:space="preserve"> </w:t>
      </w:r>
      <w:r>
        <w:t xml:space="preserve">(</w:t>
      </w:r>
      <m:oMath>
        <m:sSup>
          <m:e>
            <m:r>
              <m:t>v</m:t>
            </m:r>
          </m:e>
          <m:sup>
            <m:r>
              <m:t>2</m:t>
            </m:r>
          </m:sup>
        </m:sSup>
      </m:oMath>
      <w:r>
        <w:t xml:space="preserve">,</w:t>
      </w:r>
      <w:r>
        <w:t xml:space="preserve"> </w:t>
      </w:r>
      <m:oMath>
        <m:r>
          <m:rPr>
            <m:sty m:val="p"/>
          </m:rPr>
          <m:t>|</m:t>
        </m:r>
        <m:r>
          <m:rPr>
            <m:nor/>
            <m:sty m:val="p"/>
          </m:rPr>
          <m:t>SHAP</m:t>
        </m:r>
        <m:r>
          <m:rPr>
            <m:sty m:val="p"/>
          </m:rPr>
          <m:t>|</m:t>
        </m:r>
        <m:r>
          <m:rPr>
            <m:sty m:val="p"/>
          </m:rPr>
          <m:t>=</m:t>
        </m:r>
        <m:r>
          <m:t>0</m:t>
        </m:r>
        <m:r>
          <m:rPr>
            <m:sty m:val="p"/>
          </m:rPr>
          <m:t>,</m:t>
        </m:r>
        <m:r>
          <m:t>024</m:t>
        </m:r>
      </m:oMath>
      <w:r>
        <w:t xml:space="preserve">) y la temperatura mínima, coherente con las intrusiones de frentes fríos ventosos que resecan el estrato xerofítico.</w:t>
      </w:r>
    </w:p>
    <w:p>
      <w:pPr>
        <w:pStyle w:val="BodyText"/>
      </w:pPr>
      <w:r>
        <w:t xml:space="preserve">En contraste, en la</w:t>
      </w:r>
      <w:r>
        <w:t xml:space="preserve"> </w:t>
      </w:r>
      <w:r>
        <w:rPr>
          <w:b/>
          <w:bCs/>
        </w:rPr>
        <w:t xml:space="preserve">Región Oriental</w:t>
      </w:r>
      <w:r>
        <w:t xml:space="preserve">, tras el prior espacial, los motores biofísicos dominantes son el</w:t>
      </w:r>
      <w:r>
        <w:t xml:space="preserve"> </w:t>
      </w:r>
      <w:r>
        <w:rPr>
          <w:b/>
          <w:bCs/>
        </w:rPr>
        <w:t xml:space="preserve">contenido de humedad del combustible fino</w:t>
      </w:r>
      <w:r>
        <w:t xml:space="preserve"> </w:t>
      </w:r>
      <w:r>
        <w:t xml:space="preserve">(</w:t>
      </w:r>
      <m:oMath>
        <m:r>
          <m:t>F</m:t>
        </m:r>
        <m:r>
          <m:t>F</m:t>
        </m:r>
        <m:r>
          <m:t>M</m:t>
        </m:r>
        <m:r>
          <m:t>C</m:t>
        </m:r>
      </m:oMath>
      <w:r>
        <w:t xml:space="preserve">,</w:t>
      </w:r>
      <w:r>
        <w:t xml:space="preserve"> </w:t>
      </w:r>
      <m:oMath>
        <m:r>
          <m:rPr>
            <m:sty m:val="p"/>
          </m:rPr>
          <m:t>|</m:t>
        </m:r>
        <m:r>
          <m:rPr>
            <m:nor/>
            <m:sty m:val="p"/>
          </m:rPr>
          <m:t>SHAP</m:t>
        </m:r>
        <m:r>
          <m:rPr>
            <m:sty m:val="p"/>
          </m:rPr>
          <m:t>|</m:t>
        </m:r>
        <m:r>
          <m:rPr>
            <m:sty m:val="p"/>
          </m:rPr>
          <m:t>=</m:t>
        </m:r>
        <m:r>
          <m:t>0</m:t>
        </m:r>
        <m:r>
          <m:rPr>
            <m:sty m:val="p"/>
          </m:rPr>
          <m:t>,</m:t>
        </m:r>
        <m:r>
          <m:t>021</m:t>
        </m:r>
      </m:oMath>
      <w:r>
        <w:t xml:space="preserve">), la temperatura máxima (</w:t>
      </w:r>
      <m:oMath>
        <m:r>
          <m:t>0</m:t>
        </m:r>
        <m:r>
          <m:rPr>
            <m:sty m:val="p"/>
          </m:rPr>
          <m:t>,</m:t>
        </m:r>
        <m:r>
          <m:t>014</m:t>
        </m:r>
      </m:oMath>
      <w:r>
        <w:t xml:space="preserve">) y el índice de propagación inicial (</w:t>
      </w:r>
      <m:oMath>
        <m:r>
          <m:t>I</m:t>
        </m:r>
        <m:r>
          <m:t>S</m:t>
        </m:r>
        <m:r>
          <m:t>I</m:t>
        </m:r>
      </m:oMath>
      <w:r>
        <w:t xml:space="preserve">,</w:t>
      </w:r>
      <w:r>
        <w:t xml:space="preserve"> </w:t>
      </w:r>
      <m:oMath>
        <m:r>
          <m:t>0</m:t>
        </m:r>
        <m:r>
          <m:rPr>
            <m:sty m:val="p"/>
          </m:rPr>
          <m:t>,</m:t>
        </m:r>
        <m:r>
          <m:t>010</m:t>
        </m:r>
      </m:oMath>
      <w:r>
        <w:t xml:space="preserve">), reflejando el forzante térmico que condiciona la quema de rastrojos y pasturas implantadas.</w:t>
      </w:r>
    </w:p>
    <w:p>
      <w:pPr>
        <w:pStyle w:val="BodyText"/>
      </w:pPr>
      <w:r>
        <w:t xml:space="preserve">La descomposición visual de la explicabilidad del ensamble mediante diagramas de dispersión de densidad TreeSHAP (</w:t>
      </w:r>
      <w:r>
        <w:rPr>
          <w:i/>
          <w:iCs/>
        </w:rPr>
        <w:t xml:space="preserve">beeswarm plots</w:t>
      </w:r>
      <w:r>
        <w:t xml:space="preserve">) se expone en la</w:t>
      </w:r>
      <w:r>
        <w:t xml:space="preserve"> </w:t>
      </w:r>
      <w:hyperlink w:anchor="fig-shap">
        <w:r>
          <w:rPr>
            <w:rStyle w:val="Hyperlink"/>
          </w:rPr>
          <w:t xml:space="preserve">Figura 5</w:t>
        </w:r>
      </w:hyperlink>
      <w:r>
        <w:t xml:space="preserve">, revelando cómo el gradiente de cada variable incide positiva o negativamente en el logit de ignición.</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2333624"/>
                  <wp:effectExtent b="0" l="0" r="0" t="0"/>
                  <wp:docPr descr="" title="" id="63" name="Picture"/>
                  <a:graphic>
                    <a:graphicData uri="http://schemas.openxmlformats.org/drawingml/2006/picture">
                      <pic:pic>
                        <pic:nvPicPr>
                          <pic:cNvPr descr="figuras/fig04_shap_comparativa_chaco_vs_oriental.png" id="64" name="Picture"/>
                          <pic:cNvPicPr>
                            <a:picLocks noChangeArrowheads="1" noChangeAspect="1"/>
                          </pic:cNvPicPr>
                        </pic:nvPicPr>
                        <pic:blipFill>
                          <a:blip r:embed="rId62"/>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Explicabilidad biofísica global mediante descomposiciones TreeSHAP: Distribución de valores Shapley para las 10 características más relevantes en el Chaco semiárido (panel superior) y en la Región Oriental (panel inferior), donde cada punto representa una celda del conjunto ciego coloreada por el valor normalizado de la variable.</w:t>
            </w:r>
          </w:p>
          <w:bookmarkEnd w:id="65"/>
        </w:tc>
      </w:tr>
    </w:tbl>
    <w:bookmarkEnd w:id="66"/>
    <w:bookmarkStart w:id="72"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67">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mapa-operativo"/>
          <w:p>
            <w:pPr>
              <w:pStyle w:val="Compact"/>
              <w:jc w:val="center"/>
            </w:pPr>
            <w:r>
              <w:drawing>
                <wp:inline>
                  <wp:extent cx="4533900" cy="5037666"/>
                  <wp:effectExtent b="0" l="0" r="0" t="0"/>
                  <wp:docPr descr="" title="" id="69" name="Picture"/>
                  <a:graphic>
                    <a:graphicData uri="http://schemas.openxmlformats.org/drawingml/2006/picture">
                      <pic:pic>
                        <pic:nvPicPr>
                          <pic:cNvPr descr="figuras/fig03_mapa_riesgo_operativo_nacional.png" id="70" name="Picture"/>
                          <pic:cNvPicPr>
                            <a:picLocks noChangeArrowheads="1" noChangeAspect="1"/>
                          </pic:cNvPicPr>
                        </pic:nvPicPr>
                        <pic:blipFill>
                          <a:blip r:embed="rId68"/>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el índice de ignición física desacoplado y la probabilidad táctica de avance de fuego.</w:t>
            </w:r>
          </w:p>
          <w:bookmarkEnd w:id="71"/>
        </w:tc>
      </w:tr>
    </w:tbl>
    <w:p>
      <w:r>
        <w:pict>
          <v:rect style="width:0;height:1.5pt" o:hralign="center" o:hrstd="t" o:hr="t"/>
        </w:pict>
      </w:r>
    </w:p>
    <w:bookmarkEnd w:id="72"/>
    <w:bookmarkEnd w:id="73"/>
    <w:bookmarkStart w:id="81" w:name="discusión"/>
    <w:p>
      <w:pPr>
        <w:pStyle w:val="Heading1"/>
      </w:pPr>
      <w:r>
        <w:t xml:space="preserve">6. 6. Discusión</w:t>
      </w:r>
    </w:p>
    <w:bookmarkStart w:id="74"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74"/>
    <w:bookmarkStart w:id="75" w:name="Xe143504139dc7344e78637b6380bb48516f1da7"/>
    <w:p>
      <w:pPr>
        <w:pStyle w:val="Heading2"/>
      </w:pPr>
      <w:r>
        <w:t xml:space="preserve">6.2 6.2 El Valor Científico del Desacoplamiento Honesto</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 alcanzando un ROC-AUC de</w:t>
      </w:r>
      <w:r>
        <w:t xml:space="preserve"> </w:t>
      </w:r>
      <m:oMath>
        <m:r>
          <m:t>0</m:t>
        </m:r>
        <m:r>
          <m:rPr>
            <m:sty m:val="p"/>
          </m:rPr>
          <m:t>,</m:t>
        </m:r>
        <m:r>
          <m:t>8305</m:t>
        </m:r>
      </m:oMath>
      <w:r>
        <w:t xml:space="preserve"> </w:t>
      </w:r>
      <w:r>
        <w:t xml:space="preserve">en el Chaco y</w:t>
      </w:r>
      <w:r>
        <w:t xml:space="preserve"> </w:t>
      </w:r>
      <m:oMath>
        <m:r>
          <m:t>0</m:t>
        </m:r>
        <m:r>
          <m:rPr>
            <m:sty m:val="p"/>
          </m:rPr>
          <m:t>,</m:t>
        </m:r>
        <m:r>
          <m:t>7106</m:t>
        </m:r>
      </m:oMath>
      <w:r>
        <w:t xml:space="preserve"> </w:t>
      </w:r>
      <w:r>
        <w:t xml:space="preserve">en la Oriental.</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90</m:t>
        </m:r>
        <m:r>
          <m:rPr>
            <m:sty m:val="p"/>
          </m:rPr>
          <m:t>,</m:t>
        </m:r>
        <m:r>
          <m:t>16</m:t>
        </m:r>
        <m:r>
          <m:rPr>
            <m:nor/>
            <m:sty m:val="p"/>
          </m:rPr>
          <m:t> %</m:t>
        </m:r>
      </m:oMath>
      <w:r>
        <w:t xml:space="preserve"> </w:t>
      </w:r>
      <w:r>
        <w:t xml:space="preserve">y únicamente 12 falsos positivos en el Chaco.</w:t>
      </w:r>
    </w:p>
    <w:bookmarkEnd w:id="75"/>
    <w:bookmarkStart w:id="76"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4</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76"/>
    <w:bookmarkStart w:id="77" w:name="X3e54dd60c7fbc72761b117dd93af22f079f2340"/>
    <w:p>
      <w:pPr>
        <w:pStyle w:val="Heading2"/>
      </w:pPr>
      <w:r>
        <w:t xml:space="preserve">6.4 6.4 Física del Paisaje y Asimetría Regional de Escala de Disturbio</w:t>
      </w:r>
    </w:p>
    <w:p>
      <w:pPr>
        <w:pStyle w:val="FirstParagraph"/>
      </w:pPr>
      <w:r>
        <w:t xml:space="preserve">La disparidad en la precisión operativa entre el Chaco (</w:t>
      </w:r>
      <m:oMath>
        <m:r>
          <m:t>60</m:t>
        </m:r>
        <m:r>
          <m:rPr>
            <m:sty m:val="p"/>
          </m:rPr>
          <m:t>,</m:t>
        </m:r>
        <m:r>
          <m:t>51</m:t>
        </m:r>
        <m:r>
          <m:rPr>
            <m:nor/>
            <m:sty m:val="p"/>
          </m:rPr>
          <m:t> %</m:t>
        </m:r>
      </m:oMath>
      <w:r>
        <w:t xml:space="preserve"> </w:t>
      </w:r>
      <w:r>
        <w:t xml:space="preserve">con</w:t>
      </w:r>
      <w:r>
        <w:t xml:space="preserve"> </w:t>
      </w:r>
      <m:oMath>
        <m:sSub>
          <m:e>
            <m:r>
              <m:t>F</m:t>
            </m:r>
          </m:e>
          <m:sub>
            <m:r>
              <m:t>0.5</m:t>
            </m:r>
          </m:sub>
        </m:sSub>
      </m:oMath>
      <w:r>
        <w:t xml:space="preserve">) y la Región Oriental (</w:t>
      </w:r>
      <m:oMath>
        <m:r>
          <m:t>31</m:t>
        </m:r>
        <m:r>
          <m:rPr>
            <m:sty m:val="p"/>
          </m:rPr>
          <m:t>,</m:t>
        </m:r>
        <m:r>
          <m:t>67</m:t>
        </m:r>
        <m:r>
          <m:rPr>
            <m:nor/>
            <m:sty m:val="p"/>
          </m:rPr>
          <m:t> %</m:t>
        </m:r>
      </m:oMath>
      <w:r>
        <w:t xml:space="preserve">) no refleja un defecto algorítmico, sino la marcada heterogeneidad en la física del paisaje y la escala del disturbio entre ambos biomas:</w:t>
      </w:r>
      <w:r>
        <w:t xml:space="preserve"> </w:t>
      </w:r>
      <w:r>
        <w:t xml:space="preserve">- En el</w:t>
      </w:r>
      <w:r>
        <w:t xml:space="preserve"> </w:t>
      </w:r>
      <w:r>
        <w:rPr>
          <w:b/>
          <w:bCs/>
        </w:rPr>
        <w:t xml:space="preserve">Gran Chaco</w:t>
      </w:r>
      <w:r>
        <w:t xml:space="preserve">, el régimen de fuego está dominado por macro-conflagraciones en mosaicos continuos de pasturas ganaderas y bosque seco xerofítico, abarcando miles o decenas de miles de hectáreas. Este régimen de gran escala espacial coincide de manera natural con la resolución de</w:t>
      </w:r>
      <w:r>
        <w:t xml:space="preserve"> </w:t>
      </w:r>
      <m:oMath>
        <m:r>
          <m:t>1</m:t>
        </m:r>
        <m:sSup>
          <m:e>
            <m:r>
              <m:rPr>
                <m:nor/>
                <m:sty m:val="p"/>
              </m:rPr>
              <m:t> km</m:t>
            </m:r>
          </m:e>
          <m:sup>
            <m:r>
              <m:t>2</m:t>
            </m:r>
          </m:sup>
        </m:sSup>
      </m:oMath>
      <w:r>
        <w:t xml:space="preserve"> </w:t>
      </w:r>
      <w:r>
        <w:t xml:space="preserve">de la grilla soberana y la escala sinóptica de ERA5-Land.</w:t>
      </w:r>
      <w:r>
        <w:t xml:space="preserve"> </w:t>
      </w:r>
      <w:r>
        <w:t xml:space="preserve">- En la</w:t>
      </w:r>
      <w:r>
        <w:t xml:space="preserve"> </w:t>
      </w:r>
      <w:r>
        <w:rPr>
          <w:b/>
          <w:bCs/>
        </w:rPr>
        <w:t xml:space="preserve">Región Oriental</w:t>
      </w:r>
      <w:r>
        <w:t xml:space="preserve">, el paisaje exhibe una fragmentación extrema producto de la agricultura intensiva, minifundios campesinos (parcelas de 2 a 10 ha) e intrusión urbana. Las quemas de limpieza y rastrojo son a menudo eventos sub-pixel (</w:t>
      </w:r>
      <m:oMath>
        <m:r>
          <m:rPr>
            <m:sty m:val="p"/>
          </m:rPr>
          <m:t>&lt;</m:t>
        </m:r>
        <m:r>
          <m:t>1</m:t>
        </m:r>
        <m:sSup>
          <m:e>
            <m:r>
              <m:rPr>
                <m:nor/>
                <m:sty m:val="p"/>
              </m:rPr>
              <m:t> km</m:t>
            </m:r>
          </m:e>
          <m:sup>
            <m:r>
              <m:t>2</m:t>
            </m:r>
          </m:sup>
        </m:sSup>
      </m:oMath>
      <w:r>
        <w:t xml:space="preserve">) de muy corta duración (pocas horas), lo que introduce una estocasticidad antrópica local más pronunciada que atenúa el valor de precisión puntual sin comprometer la capacidad de ordenamiento relativo del riesgo (</w:t>
      </w:r>
      <m:oMath>
        <m:r>
          <m:t>R</m:t>
        </m:r>
        <m:r>
          <m:t>O</m:t>
        </m:r>
        <m:r>
          <m:t>C</m:t>
        </m:r>
        <m:r>
          <m:rPr>
            <m:sty m:val="p"/>
          </m:rPr>
          <m:t>=</m:t>
        </m:r>
        <m:r>
          <m:t>0</m:t>
        </m:r>
        <m:r>
          <m:rPr>
            <m:sty m:val="p"/>
          </m:rPr>
          <m:t>,</m:t>
        </m:r>
        <m:r>
          <m:t>7106</m:t>
        </m:r>
      </m:oMath>
      <w:r>
        <w:t xml:space="preserve">).</w:t>
      </w:r>
    </w:p>
    <w:bookmarkEnd w:id="77"/>
    <w:bookmarkStart w:id="78" w:name="Xdbe9e24ff68e0f550b55cf778b6866cf467941b"/>
    <w:p>
      <w:pPr>
        <w:pStyle w:val="Heading2"/>
      </w:pPr>
      <w:r>
        <w:t xml:space="preserve">6.5 6.5 Cuantificación de Incertidumbre y Garantías Conformes</w:t>
      </w:r>
    </w:p>
    <w:p>
      <w:pPr>
        <w:pStyle w:val="FirstParagraph"/>
      </w:pPr>
      <w:r>
        <w:t xml:space="preserve">Para que una predicción probabilística sea accionable en operaciones de protección civil, los tomadores de decisiones requieren conocer el grado de certidumbre del pronóstico. Mediante calibración conforme (</w:t>
      </w:r>
      <w:r>
        <w:rPr>
          <w:i/>
          <w:iCs/>
        </w:rPr>
        <w:t xml:space="preserve">Split Conformal Prediction</w:t>
      </w:r>
      <w:r>
        <w:t xml:space="preserve">) sobre el conjunto de validación,</w:t>
      </w:r>
      <w:r>
        <w:t xml:space="preserve"> </w:t>
      </w:r>
      <w:r>
        <w:rPr>
          <w:rStyle w:val="VerbatimChar"/>
        </w:rPr>
        <w:t xml:space="preserve">Incendios_PY</w:t>
      </w:r>
      <w:r>
        <w:t xml:space="preserve"> </w:t>
      </w:r>
      <w:r>
        <w:t xml:space="preserve">complementa la probabilidad puntual calibrada con conjuntos de predicción conformalmente válidos a un nivel de cobertura marginal garantizado del</w:t>
      </w:r>
      <w:r>
        <w:t xml:space="preserve"> </w:t>
      </w:r>
      <m:oMath>
        <m:r>
          <m:t>1</m:t>
        </m:r>
        <m:r>
          <m:rPr>
            <m:sty m:val="p"/>
          </m:rPr>
          <m:t>−</m:t>
        </m:r>
        <m:r>
          <m:t>α</m:t>
        </m:r>
        <m:r>
          <m:rPr>
            <m:sty m:val="p"/>
          </m:rPr>
          <m:t>=</m:t>
        </m:r>
        <m:r>
          <m:t>0</m:t>
        </m:r>
        <m:r>
          <m:rPr>
            <m:sty m:val="p"/>
          </m:rPr>
          <m:t>,</m:t>
        </m:r>
        <m:r>
          <m:t>90</m:t>
        </m:r>
      </m:oMath>
      <w:r>
        <w:t xml:space="preserve">. Esto permite discriminar celdas con alta confianza operativa de aquellas donde la escasez de observaciones o la turbulencia atmosférica local amplían el intervalo de incertidumbre epistémica.</w:t>
      </w:r>
    </w:p>
    <w:bookmarkEnd w:id="78"/>
    <w:bookmarkStart w:id="79" w:name="Xcdb6614f49e377e95868282d3e14bf0f8e490ca"/>
    <w:p>
      <w:pPr>
        <w:pStyle w:val="Heading2"/>
      </w:pPr>
      <w:r>
        <w:t xml:space="preserve">6.6 6.6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79"/>
    <w:bookmarkStart w:id="80" w:name="limitaciones"/>
    <w:p>
      <w:pPr>
        <w:pStyle w:val="Heading2"/>
      </w:pPr>
      <w:r>
        <w:t xml:space="preserve">6.7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80"/>
    <w:bookmarkEnd w:id="81"/>
    <w:bookmarkStart w:id="89"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táctica del</w:t>
      </w:r>
      <w:r>
        <w:t xml:space="preserve"> </w:t>
      </w:r>
      <m:oMath>
        <m:r>
          <m:t>90</m:t>
        </m:r>
        <m:r>
          <m:rPr>
            <m:sty m:val="p"/>
          </m:rPr>
          <m:t>,</m:t>
        </m:r>
        <m:r>
          <m:t>16</m:t>
        </m:r>
        <m:r>
          <m:rPr>
            <m:nor/>
            <m:sty m:val="p"/>
          </m:rPr>
          <m:t> %</m:t>
        </m:r>
      </m:oMath>
      <w:r>
        <w:t xml:space="preserve"> </w:t>
      </w:r>
      <w:r>
        <w:t xml:space="preserve">en propagación en el Chaco y superando al Canadian FWI por más de 28 a 32 puntos porcentuales de ROC-AUC en ignición primaria en ambas macro-regiones.</w:t>
      </w:r>
    </w:p>
    <w:p>
      <w:pPr>
        <w:pStyle w:val="Compact"/>
        <w:numPr>
          <w:ilvl w:val="0"/>
          <w:numId w:val="1008"/>
        </w:numPr>
      </w:pPr>
      <w:r>
        <w:t xml:space="preserve">La susceptibilidad espacial histórica (sin fuga temporal) provee el anclaje antrópico base, mientras que la presión dinámica cuadrática del viento (</w:t>
      </w:r>
      <m:oMath>
        <m:sSup>
          <m:e>
            <m:r>
              <m:t>v</m:t>
            </m:r>
          </m:e>
          <m:sup>
            <m:r>
              <m:t>2</m:t>
            </m:r>
          </m:sup>
        </m:sSup>
      </m:oMath>
      <w:r>
        <w:t xml:space="preserve">) gobierna la ignición chaqueña y la humedad del combustible fino (</w:t>
      </w:r>
      <m:oMath>
        <m:r>
          <m:t>F</m:t>
        </m:r>
        <m:r>
          <m:t>F</m:t>
        </m:r>
        <m:r>
          <m:t>M</m:t>
        </m:r>
        <m:r>
          <m:t>C</m:t>
        </m:r>
      </m:oMath>
      <w:r>
        <w:t xml:space="preserve">)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88" w:name="X440eed359d402fc402eb300a6b25588dee57b4d"/>
    <w:p>
      <w:pPr>
        <w:pStyle w:val="Heading2"/>
      </w:pPr>
      <w:r>
        <w:t xml:space="preserve">7.1 7.1 Trabajo Futuro y Hoja de Ruta Tecnológica</w:t>
      </w:r>
    </w:p>
    <w:bookmarkStart w:id="82"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Decenal Homogénea (2015–2025):</w:t>
      </w:r>
      <w:r>
        <w:t xml:space="preserve"> </w:t>
      </w:r>
      <w:r>
        <w:t xml:space="preserve">Sentinel-3A y Sentinel-3B entraron en régimen operativo regular en 2016 y 2018, respectivamente, mientras que el radar activo de SMAP cesó operaciones a mediados de 2015. Forzar su inclusión en el presente estudio habría fragmentado el horizonte decenal continuo de 10 años, impidiendo un entrenamiento y validación homogénea en temporadas críticas tempranas.</w:t>
      </w:r>
      <w:r>
        <w:t xml:space="preserve"> </w:t>
      </w:r>
      <w:r>
        <w:t xml:space="preserve">2.</w:t>
      </w:r>
      <w:r>
        <w:t xml:space="preserve"> </w:t>
      </w:r>
      <w:r>
        <w:rPr>
          <w:b/>
          <w:bCs/>
        </w:rPr>
        <w:t xml:space="preserve">Defensa de la Soberanía Tecnológica y Bajo Costo Computacional:</w:t>
      </w:r>
      <w:r>
        <w:t xml:space="preserve"> </w:t>
      </w:r>
      <w:r>
        <w:t xml:space="preserve">El objetivo primario de este trabajo fue demostrar que un país en desarrollo puede desplegar un sistema soberano de alerta temprana de clase mundial con un tiempo de inferencia de</w:t>
      </w:r>
      <w:r>
        <w:t xml:space="preserve"> </w:t>
      </w:r>
      <m:oMath>
        <m:r>
          <m:t>0</m:t>
        </m:r>
        <m:r>
          <m:rPr>
            <m:sty m:val="p"/>
          </m:rPr>
          <m:t>,</m:t>
        </m:r>
        <m:r>
          <m:t>75</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82"/>
    <w:bookmarkStart w:id="87"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fig-trimodal"/>
          <w:p>
            <w:pPr>
              <w:pStyle w:val="Compact"/>
              <w:jc w:val="center"/>
            </w:pPr>
            <w:r>
              <w:drawing>
                <wp:inline>
                  <wp:extent cx="5334000" cy="1987136"/>
                  <wp:effectExtent b="0" l="0" r="0" t="0"/>
                  <wp:docPr descr="" title="" id="84" name="Picture"/>
                  <a:graphic>
                    <a:graphicData uri="http://schemas.openxmlformats.org/drawingml/2006/picture">
                      <pic:pic>
                        <pic:nvPicPr>
                          <pic:cNvPr descr="figuras/fig06_comparativa_satelital_tres_modos.png" id="85" name="Picture"/>
                          <pic:cNvPicPr>
                            <a:picLocks noChangeArrowheads="1" noChangeAspect="1"/>
                          </pic:cNvPicPr>
                        </pic:nvPicPr>
                        <pic:blipFill>
                          <a:blip r:embed="rId83"/>
                          <a:stretch>
                            <a:fillRect/>
                          </a:stretch>
                        </pic:blipFill>
                        <pic:spPr bwMode="auto">
                          <a:xfrm>
                            <a:off x="0" y="0"/>
                            <a:ext cx="5334000" cy="198713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Esquema conceptual y operativo de la verificación satelital tri-modal multiespectral: Modo 1 (Alerta Regional a 1 km²), Modo 2 (Detección térmica focal VIIRS a 375 m) y Modo 3 (Confirmación espectral SWIR de alta resolución en frentes de fuego activos).</w:t>
            </w:r>
          </w:p>
          <w:bookmarkEnd w:id="86"/>
        </w:tc>
      </w:tr>
    </w:tbl>
    <w:p>
      <w:r>
        <w:pict>
          <v:rect style="width:0;height:1.5pt" o:hralign="center" o:hrstd="t" o:hr="t"/>
        </w:pict>
      </w:r>
    </w:p>
    <w:bookmarkEnd w:id="87"/>
    <w:bookmarkEnd w:id="88"/>
    <w:bookmarkEnd w:id="89"/>
    <w:bookmarkStart w:id="92"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91"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90">
                    <w:r>
                      <w:rPr>
                        <w:rStyle w:val="Hyperlink"/>
                      </w:rPr>
                      <w:t xml:space="preserve">https://github.com/sanchezmartin093-code/Incendios_PY</w:t>
                    </w:r>
                  </w:hyperlink>
                  <w:r>
                    <w:t xml:space="preserve"> </w:t>
                  </w:r>
                  <w:r>
                    <w:t xml:space="preserve">(versión anonimizada disponible para revisores).</w:t>
                  </w:r>
                </w:p>
              </w:tc>
            </w:tr>
          </w:tbl>
          <w:bookmarkEnd w:id="91"/>
          <w:p/>
        </w:tc>
      </w:tr>
    </w:tbl>
    <w:p>
      <w:r>
        <w:pict>
          <v:rect style="width:0;height:1.5pt" o:hralign="center" o:hrstd="t" o:hr="t"/>
        </w:pict>
      </w:r>
    </w:p>
    <w:bookmarkEnd w:id="92"/>
    <w:bookmarkStart w:id="176" w:name="referencias"/>
    <w:p>
      <w:pPr>
        <w:pStyle w:val="Heading1"/>
      </w:pPr>
      <w:r>
        <w:t xml:space="preserve">Referencias</w:t>
      </w:r>
    </w:p>
    <w:bookmarkStart w:id="175" w:name="refs"/>
    <w:bookmarkStart w:id="94"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93">
        <w:r>
          <w:rPr>
            <w:rStyle w:val="Hyperlink"/>
          </w:rPr>
          <w:t xml:space="preserve">https://doi.org/10.3390/rs10091438</w:t>
        </w:r>
      </w:hyperlink>
    </w:p>
    <w:bookmarkEnd w:id="94"/>
    <w:bookmarkStart w:id="96"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95">
        <w:r>
          <w:rPr>
            <w:rStyle w:val="Hyperlink"/>
          </w:rPr>
          <w:t xml:space="preserve">https://doi.org/10.1071/WF12167</w:t>
        </w:r>
      </w:hyperlink>
    </w:p>
    <w:bookmarkEnd w:id="96"/>
    <w:bookmarkStart w:id="98"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97">
        <w:r>
          <w:rPr>
            <w:rStyle w:val="Hyperlink"/>
          </w:rPr>
          <w:t xml:space="preserve">https://doi.org/10.1038/s41597-019-0312-2</w:t>
        </w:r>
      </w:hyperlink>
    </w:p>
    <w:bookmarkEnd w:id="98"/>
    <w:bookmarkStart w:id="100"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99">
        <w:r>
          <w:rPr>
            <w:rStyle w:val="Hyperlink"/>
          </w:rPr>
          <w:t xml:space="preserve">https://doi.org/10.3390/s20226442</w:t>
        </w:r>
      </w:hyperlink>
    </w:p>
    <w:bookmarkEnd w:id="100"/>
    <w:bookmarkStart w:id="102"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101">
        <w:r>
          <w:rPr>
            <w:rStyle w:val="Hyperlink"/>
          </w:rPr>
          <w:t xml:space="preserve">https://doi.org/10.1111/gcb.13521</w:t>
        </w:r>
      </w:hyperlink>
    </w:p>
    <w:bookmarkEnd w:id="102"/>
    <w:bookmarkStart w:id="104"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03">
        <w:r>
          <w:rPr>
            <w:rStyle w:val="Hyperlink"/>
          </w:rPr>
          <w:t xml:space="preserve">https://doi.org/10.1145/2939672.2939785</w:t>
        </w:r>
      </w:hyperlink>
    </w:p>
    <w:bookmarkEnd w:id="104"/>
    <w:bookmarkStart w:id="106"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05">
        <w:r>
          <w:rPr>
            <w:rStyle w:val="Hyperlink"/>
          </w:rPr>
          <w:t xml:space="preserve">https://doi.org/10.1016/j.rse.2019.02.013</w:t>
        </w:r>
      </w:hyperlink>
    </w:p>
    <w:bookmarkEnd w:id="106"/>
    <w:bookmarkStart w:id="108"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07">
        <w:r>
          <w:rPr>
            <w:rStyle w:val="Hyperlink"/>
          </w:rPr>
          <w:t xml:space="preserve">https://doi.org/10.1088/1748-9326/ab020e</w:t>
        </w:r>
      </w:hyperlink>
    </w:p>
    <w:bookmarkEnd w:id="108"/>
    <w:bookmarkStart w:id="110"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09">
        <w:r>
          <w:rPr>
            <w:rStyle w:val="Hyperlink"/>
          </w:rPr>
          <w:t xml:space="preserve">https://doi.org/10.1111/j.2007.0906-7590.05171.x</w:t>
        </w:r>
      </w:hyperlink>
    </w:p>
    <w:bookmarkEnd w:id="110"/>
    <w:bookmarkStart w:id="112"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11">
        <w:r>
          <w:rPr>
            <w:rStyle w:val="Hyperlink"/>
          </w:rPr>
          <w:t xml:space="preserve">https://doi.org/10.1071/WF08187</w:t>
        </w:r>
      </w:hyperlink>
    </w:p>
    <w:bookmarkEnd w:id="112"/>
    <w:bookmarkStart w:id="114"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13">
        <w:r>
          <w:rPr>
            <w:rStyle w:val="Hyperlink"/>
          </w:rPr>
          <w:t xml:space="preserve">https://doi.org/10.1007/s10584-015-1521-0</w:t>
        </w:r>
      </w:hyperlink>
    </w:p>
    <w:bookmarkEnd w:id="114"/>
    <w:bookmarkStart w:id="116"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15">
        <w:r>
          <w:rPr>
            <w:rStyle w:val="Hyperlink"/>
          </w:rPr>
          <w:t xml:space="preserve">https://doi.org/10.1016/j.rse.2016.02.054</w:t>
        </w:r>
      </w:hyperlink>
    </w:p>
    <w:bookmarkEnd w:id="116"/>
    <w:bookmarkStart w:id="118"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17">
        <w:r>
          <w:rPr>
            <w:rStyle w:val="Hyperlink"/>
          </w:rPr>
          <w:t xml:space="preserve">https://doi.org/10.1016/j.rse.2017.06.031</w:t>
        </w:r>
      </w:hyperlink>
    </w:p>
    <w:bookmarkEnd w:id="118"/>
    <w:bookmarkStart w:id="120"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19">
        <w:r>
          <w:rPr>
            <w:rStyle w:val="Hyperlink"/>
          </w:rPr>
          <w:t xml:space="preserve">https://doi.org/10.1139/er-2020-0019</w:t>
        </w:r>
      </w:hyperlink>
    </w:p>
    <w:bookmarkEnd w:id="120"/>
    <w:bookmarkStart w:id="122"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21">
        <w:r>
          <w:rPr>
            <w:rStyle w:val="Hyperlink"/>
          </w:rPr>
          <w:t xml:space="preserve">https://doi.org/10.1038/ncomms8537</w:t>
        </w:r>
      </w:hyperlink>
    </w:p>
    <w:bookmarkEnd w:id="122"/>
    <w:bookmarkStart w:id="124"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23">
        <w:r>
          <w:rPr>
            <w:rStyle w:val="Hyperlink"/>
          </w:rPr>
          <w:t xml:space="preserve">https://doi.org/10.1016/S0034-4257(02)00076-7</w:t>
        </w:r>
      </w:hyperlink>
    </w:p>
    <w:bookmarkEnd w:id="124"/>
    <w:bookmarkStart w:id="125"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25"/>
    <w:bookmarkStart w:id="127"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26">
        <w:r>
          <w:rPr>
            <w:rStyle w:val="Hyperlink"/>
          </w:rPr>
          <w:t xml:space="preserve">https://doi.org/10.2307/1939924</w:t>
        </w:r>
      </w:hyperlink>
    </w:p>
    <w:bookmarkEnd w:id="127"/>
    <w:bookmarkStart w:id="129"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28">
        <w:r>
          <w:rPr>
            <w:rStyle w:val="Hyperlink"/>
          </w:rPr>
          <w:t xml:space="preserve">https://doi.org/10.1038/s42256-019-0138-9</w:t>
        </w:r>
      </w:hyperlink>
    </w:p>
    <w:bookmarkEnd w:id="129"/>
    <w:bookmarkStart w:id="131"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30">
        <w:r>
          <w:rPr>
            <w:rStyle w:val="Hyperlink"/>
          </w:rPr>
          <w:t xml:space="preserve">https://chaco.mapbiomas.org/</w:t>
        </w:r>
      </w:hyperlink>
      <w:r>
        <w:t xml:space="preserve">.</w:t>
      </w:r>
    </w:p>
    <w:bookmarkEnd w:id="131"/>
    <w:bookmarkStart w:id="133"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32">
        <w:r>
          <w:rPr>
            <w:rStyle w:val="Hyperlink"/>
          </w:rPr>
          <w:t xml:space="preserve">https://doi.org/10.1111/2041-210X.13650</w:t>
        </w:r>
      </w:hyperlink>
    </w:p>
    <w:bookmarkEnd w:id="133"/>
    <w:bookmarkStart w:id="135"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34">
        <w:r>
          <w:rPr>
            <w:rStyle w:val="Hyperlink"/>
          </w:rPr>
          <w:t xml:space="preserve">https://doi.org/10.5194/essd-13-4349-2021</w:t>
        </w:r>
      </w:hyperlink>
    </w:p>
    <w:bookmarkEnd w:id="135"/>
    <w:bookmarkStart w:id="137"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36">
        <w:r>
          <w:rPr>
            <w:rStyle w:val="Hyperlink"/>
          </w:rPr>
          <w:t xml:space="preserve">https://doi.org/10.1145/1102351.1102430</w:t>
        </w:r>
      </w:hyperlink>
    </w:p>
    <w:bookmarkEnd w:id="137"/>
    <w:bookmarkStart w:id="138"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38"/>
    <w:bookmarkStart w:id="140"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39">
        <w:r>
          <w:rPr>
            <w:rStyle w:val="Hyperlink"/>
          </w:rPr>
          <w:t xml:space="preserve">https://doi.org/10.1016/j.pecon.2021.06.005</w:t>
        </w:r>
      </w:hyperlink>
    </w:p>
    <w:bookmarkEnd w:id="140"/>
    <w:bookmarkStart w:id="141"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41"/>
    <w:bookmarkStart w:id="143"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42">
        <w:r>
          <w:rPr>
            <w:rStyle w:val="Hyperlink"/>
          </w:rPr>
          <w:t xml:space="preserve">https://doi.org/10.1038/s41467-020-18321-y</w:t>
        </w:r>
      </w:hyperlink>
    </w:p>
    <w:bookmarkEnd w:id="143"/>
    <w:bookmarkStart w:id="144"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44"/>
    <w:bookmarkStart w:id="146"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45">
        <w:r>
          <w:rPr>
            <w:rStyle w:val="Hyperlink"/>
          </w:rPr>
          <w:t xml:space="preserve">https://doi.org/10.1145/3299869.3320212</w:t>
        </w:r>
      </w:hyperlink>
    </w:p>
    <w:bookmarkEnd w:id="146"/>
    <w:bookmarkStart w:id="148"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47">
        <w:r>
          <w:rPr>
            <w:rStyle w:val="Hyperlink"/>
          </w:rPr>
          <w:t xml:space="preserve">https://doi.org/10.1038/s41586-019-0912-1</w:t>
        </w:r>
      </w:hyperlink>
    </w:p>
    <w:bookmarkEnd w:id="148"/>
    <w:bookmarkStart w:id="150"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49">
        <w:r>
          <w:rPr>
            <w:rStyle w:val="Hyperlink"/>
          </w:rPr>
          <w:t xml:space="preserve">https://doi.org/10.1111/ecog.02881</w:t>
        </w:r>
      </w:hyperlink>
    </w:p>
    <w:bookmarkEnd w:id="150"/>
    <w:bookmarkStart w:id="152"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51">
        <w:r>
          <w:rPr>
            <w:rStyle w:val="Hyperlink"/>
          </w:rPr>
          <w:t xml:space="preserve">https://doi.org/10.1016/j.envsoft.2014.03.003</w:t>
        </w:r>
      </w:hyperlink>
    </w:p>
    <w:bookmarkEnd w:id="152"/>
    <w:bookmarkStart w:id="153"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53"/>
    <w:bookmarkStart w:id="155"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54">
        <w:r>
          <w:rPr>
            <w:rStyle w:val="Hyperlink"/>
          </w:rPr>
          <w:t xml:space="preserve">https://doi.org/10.1016/j.rse.2008.05.013</w:t>
        </w:r>
      </w:hyperlink>
    </w:p>
    <w:bookmarkEnd w:id="155"/>
    <w:bookmarkStart w:id="157"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56">
        <w:r>
          <w:rPr>
            <w:rStyle w:val="Hyperlink"/>
          </w:rPr>
          <w:t xml:space="preserve">https://doi.org/10.5772/28441</w:t>
        </w:r>
      </w:hyperlink>
    </w:p>
    <w:bookmarkEnd w:id="157"/>
    <w:bookmarkStart w:id="159"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58">
        <w:r>
          <w:rPr>
            <w:rStyle w:val="Hyperlink"/>
          </w:rPr>
          <w:t xml:space="preserve">https://doi.org/10.1016/j.firesaf.2019.01.006</w:t>
        </w:r>
      </w:hyperlink>
    </w:p>
    <w:bookmarkEnd w:id="159"/>
    <w:bookmarkStart w:id="161"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60">
        <w:r>
          <w:rPr>
            <w:rStyle w:val="Hyperlink"/>
          </w:rPr>
          <w:t xml:space="preserve">https://doi.org/10.1016/j.rse.2013.12.008</w:t>
        </w:r>
      </w:hyperlink>
    </w:p>
    <w:bookmarkEnd w:id="161"/>
    <w:bookmarkStart w:id="163"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62">
        <w:r>
          <w:rPr>
            <w:rStyle w:val="Hyperlink"/>
          </w:rPr>
          <w:t xml:space="preserve">http://queimadas.dgi.inpe.br</w:t>
        </w:r>
      </w:hyperlink>
    </w:p>
    <w:bookmarkEnd w:id="163"/>
    <w:bookmarkStart w:id="165"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64">
        <w:r>
          <w:rPr>
            <w:rStyle w:val="Hyperlink"/>
          </w:rPr>
          <w:t xml:space="preserve">https://doi.org/10.5558/tfc65258-4</w:t>
        </w:r>
      </w:hyperlink>
    </w:p>
    <w:bookmarkEnd w:id="165"/>
    <w:bookmarkStart w:id="167"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66">
        <w:r>
          <w:rPr>
            <w:rStyle w:val="Hyperlink"/>
          </w:rPr>
          <w:t xml:space="preserve">https://doi.org/10.2307/143141</w:t>
        </w:r>
      </w:hyperlink>
    </w:p>
    <w:bookmarkEnd w:id="167"/>
    <w:bookmarkStart w:id="169"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68">
        <w:r>
          <w:rPr>
            <w:rStyle w:val="Hyperlink"/>
          </w:rPr>
          <w:t xml:space="preserve">https://doi.org/10.1016/j.jaridenv.2014.11.009</w:t>
        </w:r>
      </w:hyperlink>
    </w:p>
    <w:bookmarkEnd w:id="169"/>
    <w:bookmarkStart w:id="170"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70"/>
    <w:bookmarkStart w:id="172"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71">
        <w:r>
          <w:rPr>
            <w:rStyle w:val="Hyperlink"/>
          </w:rPr>
          <w:t xml:space="preserve">https://doi.org/10.1145/3514228</w:t>
        </w:r>
      </w:hyperlink>
    </w:p>
    <w:bookmarkEnd w:id="172"/>
    <w:bookmarkStart w:id="174"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73">
        <w:r>
          <w:rPr>
            <w:rStyle w:val="Hyperlink"/>
          </w:rPr>
          <w:t xml:space="preserve">https://doi.org/10.1029/2005JD006318</w:t>
        </w:r>
      </w:hyperlink>
    </w:p>
    <w:bookmarkEnd w:id="174"/>
    <w:bookmarkEnd w:id="175"/>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83" Target="media/rId83.png" /><Relationship Type="http://schemas.openxmlformats.org/officeDocument/2006/relationships/hyperlink" Id="rId42" Target="file:///Users/martinsanchez/Documents/Proyectos_PY/Incendios_PY/scripts/00_generar_grilla_nacional.py" TargetMode="External" /><Relationship Type="http://schemas.openxmlformats.org/officeDocument/2006/relationships/hyperlink" Id="rId43" Target="file:///Users/martinsanchez/Documents/Proyectos_PY/Incendios_PY/scripts/15_generar_figura_arquitectura_impacto.py" TargetMode="External" /><Relationship Type="http://schemas.openxmlformats.org/officeDocument/2006/relationships/hyperlink" Id="rId67" Target="file:///Users/martinsanchez/Documents/Proyectos_PY/Incendios_PY/src/alerta.py" TargetMode="External" /><Relationship Type="http://schemas.openxmlformats.org/officeDocument/2006/relationships/hyperlink" Id="rId162" Target="http://queimadas.dgi.inpe.br" TargetMode="External" /><Relationship Type="http://schemas.openxmlformats.org/officeDocument/2006/relationships/hyperlink" Id="rId130" Target="https://chaco.mapbiomas.org/" TargetMode="External" /><Relationship Type="http://schemas.openxmlformats.org/officeDocument/2006/relationships/hyperlink" Id="rId113" Target="https://doi.org/10.1007/s10584-015-1521-0" TargetMode="External" /><Relationship Type="http://schemas.openxmlformats.org/officeDocument/2006/relationships/hyperlink" Id="rId123" Target="https://doi.org/10.1016/S0034-4257(02)00076-7" TargetMode="External" /><Relationship Type="http://schemas.openxmlformats.org/officeDocument/2006/relationships/hyperlink" Id="rId151" Target="https://doi.org/10.1016/j.envsoft.2014.03.003" TargetMode="External" /><Relationship Type="http://schemas.openxmlformats.org/officeDocument/2006/relationships/hyperlink" Id="rId158" Target="https://doi.org/10.1016/j.firesaf.2019.01.006" TargetMode="External" /><Relationship Type="http://schemas.openxmlformats.org/officeDocument/2006/relationships/hyperlink" Id="rId168" Target="https://doi.org/10.1016/j.jaridenv.2014.11.009" TargetMode="External" /><Relationship Type="http://schemas.openxmlformats.org/officeDocument/2006/relationships/hyperlink" Id="rId139" Target="https://doi.org/10.1016/j.pecon.2021.06.005" TargetMode="External" /><Relationship Type="http://schemas.openxmlformats.org/officeDocument/2006/relationships/hyperlink" Id="rId154" Target="https://doi.org/10.1016/j.rse.2008.05.013" TargetMode="External" /><Relationship Type="http://schemas.openxmlformats.org/officeDocument/2006/relationships/hyperlink" Id="rId160" Target="https://doi.org/10.1016/j.rse.2013.12.008" TargetMode="External" /><Relationship Type="http://schemas.openxmlformats.org/officeDocument/2006/relationships/hyperlink" Id="rId115" Target="https://doi.org/10.1016/j.rse.2016.02.054" TargetMode="External" /><Relationship Type="http://schemas.openxmlformats.org/officeDocument/2006/relationships/hyperlink" Id="rId117" Target="https://doi.org/10.1016/j.rse.2017.06.031" TargetMode="External" /><Relationship Type="http://schemas.openxmlformats.org/officeDocument/2006/relationships/hyperlink" Id="rId105" Target="https://doi.org/10.1016/j.rse.2019.02.013" TargetMode="External" /><Relationship Type="http://schemas.openxmlformats.org/officeDocument/2006/relationships/hyperlink" Id="rId173" Target="https://doi.org/10.1029/2005JD006318" TargetMode="External" /><Relationship Type="http://schemas.openxmlformats.org/officeDocument/2006/relationships/hyperlink" Id="rId121" Target="https://doi.org/10.1038/ncomms8537" TargetMode="External" /><Relationship Type="http://schemas.openxmlformats.org/officeDocument/2006/relationships/hyperlink" Id="rId142" Target="https://doi.org/10.1038/s41467-020-18321-y" TargetMode="External" /><Relationship Type="http://schemas.openxmlformats.org/officeDocument/2006/relationships/hyperlink" Id="rId147" Target="https://doi.org/10.1038/s41586-019-0912-1" TargetMode="External" /><Relationship Type="http://schemas.openxmlformats.org/officeDocument/2006/relationships/hyperlink" Id="rId97" Target="https://doi.org/10.1038/s41597-019-0312-2" TargetMode="External" /><Relationship Type="http://schemas.openxmlformats.org/officeDocument/2006/relationships/hyperlink" Id="rId128" Target="https://doi.org/10.1038/s42256-019-0138-9" TargetMode="External" /><Relationship Type="http://schemas.openxmlformats.org/officeDocument/2006/relationships/hyperlink" Id="rId111" Target="https://doi.org/10.1071/WF08187" TargetMode="External" /><Relationship Type="http://schemas.openxmlformats.org/officeDocument/2006/relationships/hyperlink" Id="rId95" Target="https://doi.org/10.1071/WF12167" TargetMode="External" /><Relationship Type="http://schemas.openxmlformats.org/officeDocument/2006/relationships/hyperlink" Id="rId107" Target="https://doi.org/10.1088/1748-9326/ab020e" TargetMode="External" /><Relationship Type="http://schemas.openxmlformats.org/officeDocument/2006/relationships/hyperlink" Id="rId132" Target="https://doi.org/10.1111/2041-210X.13650" TargetMode="External" /><Relationship Type="http://schemas.openxmlformats.org/officeDocument/2006/relationships/hyperlink" Id="rId149" Target="https://doi.org/10.1111/ecog.02881" TargetMode="External" /><Relationship Type="http://schemas.openxmlformats.org/officeDocument/2006/relationships/hyperlink" Id="rId101" Target="https://doi.org/10.1111/gcb.13521" TargetMode="External" /><Relationship Type="http://schemas.openxmlformats.org/officeDocument/2006/relationships/hyperlink" Id="rId109" Target="https://doi.org/10.1111/j.2007.0906-7590.05171.x" TargetMode="External" /><Relationship Type="http://schemas.openxmlformats.org/officeDocument/2006/relationships/hyperlink" Id="rId119" Target="https://doi.org/10.1139/er-2020-0019" TargetMode="External" /><Relationship Type="http://schemas.openxmlformats.org/officeDocument/2006/relationships/hyperlink" Id="rId136" Target="https://doi.org/10.1145/1102351.1102430" TargetMode="External" /><Relationship Type="http://schemas.openxmlformats.org/officeDocument/2006/relationships/hyperlink" Id="rId103" Target="https://doi.org/10.1145/2939672.2939785" TargetMode="External" /><Relationship Type="http://schemas.openxmlformats.org/officeDocument/2006/relationships/hyperlink" Id="rId145" Target="https://doi.org/10.1145/3299869.3320212" TargetMode="External" /><Relationship Type="http://schemas.openxmlformats.org/officeDocument/2006/relationships/hyperlink" Id="rId171" Target="https://doi.org/10.1145/3514228" TargetMode="External" /><Relationship Type="http://schemas.openxmlformats.org/officeDocument/2006/relationships/hyperlink" Id="rId166" Target="https://doi.org/10.2307/143141" TargetMode="External" /><Relationship Type="http://schemas.openxmlformats.org/officeDocument/2006/relationships/hyperlink" Id="rId126" Target="https://doi.org/10.2307/1939924" TargetMode="External" /><Relationship Type="http://schemas.openxmlformats.org/officeDocument/2006/relationships/hyperlink" Id="rId93" Target="https://doi.org/10.3390/rs10091438" TargetMode="External" /><Relationship Type="http://schemas.openxmlformats.org/officeDocument/2006/relationships/hyperlink" Id="rId99" Target="https://doi.org/10.3390/s20226442" TargetMode="External" /><Relationship Type="http://schemas.openxmlformats.org/officeDocument/2006/relationships/hyperlink" Id="rId134" Target="https://doi.org/10.5194/essd-13-4349-2021" TargetMode="External" /><Relationship Type="http://schemas.openxmlformats.org/officeDocument/2006/relationships/hyperlink" Id="rId164" Target="https://doi.org/10.5558/tfc65258-4" TargetMode="External" /><Relationship Type="http://schemas.openxmlformats.org/officeDocument/2006/relationships/hyperlink" Id="rId156" Target="https://doi.org/10.5772/28441" TargetMode="External" /><Relationship Type="http://schemas.openxmlformats.org/officeDocument/2006/relationships/hyperlink" Id="rId90"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2" Target="file:///Users/martinsanchez/Documents/Proyectos_PY/Incendios_PY/scripts/00_generar_grilla_nacional.py" TargetMode="External" /><Relationship Type="http://schemas.openxmlformats.org/officeDocument/2006/relationships/hyperlink" Id="rId43" Target="file:///Users/martinsanchez/Documents/Proyectos_PY/Incendios_PY/scripts/15_generar_figura_arquitectura_impacto.py" TargetMode="External" /><Relationship Type="http://schemas.openxmlformats.org/officeDocument/2006/relationships/hyperlink" Id="rId67" Target="file:///Users/martinsanchez/Documents/Proyectos_PY/Incendios_PY/src/alerta.py" TargetMode="External" /><Relationship Type="http://schemas.openxmlformats.org/officeDocument/2006/relationships/hyperlink" Id="rId162" Target="http://queimadas.dgi.inpe.br" TargetMode="External" /><Relationship Type="http://schemas.openxmlformats.org/officeDocument/2006/relationships/hyperlink" Id="rId130" Target="https://chaco.mapbiomas.org/" TargetMode="External" /><Relationship Type="http://schemas.openxmlformats.org/officeDocument/2006/relationships/hyperlink" Id="rId113" Target="https://doi.org/10.1007/s10584-015-1521-0" TargetMode="External" /><Relationship Type="http://schemas.openxmlformats.org/officeDocument/2006/relationships/hyperlink" Id="rId123" Target="https://doi.org/10.1016/S0034-4257(02)00076-7" TargetMode="External" /><Relationship Type="http://schemas.openxmlformats.org/officeDocument/2006/relationships/hyperlink" Id="rId151" Target="https://doi.org/10.1016/j.envsoft.2014.03.003" TargetMode="External" /><Relationship Type="http://schemas.openxmlformats.org/officeDocument/2006/relationships/hyperlink" Id="rId158" Target="https://doi.org/10.1016/j.firesaf.2019.01.006" TargetMode="External" /><Relationship Type="http://schemas.openxmlformats.org/officeDocument/2006/relationships/hyperlink" Id="rId168" Target="https://doi.org/10.1016/j.jaridenv.2014.11.009" TargetMode="External" /><Relationship Type="http://schemas.openxmlformats.org/officeDocument/2006/relationships/hyperlink" Id="rId139" Target="https://doi.org/10.1016/j.pecon.2021.06.005" TargetMode="External" /><Relationship Type="http://schemas.openxmlformats.org/officeDocument/2006/relationships/hyperlink" Id="rId154" Target="https://doi.org/10.1016/j.rse.2008.05.013" TargetMode="External" /><Relationship Type="http://schemas.openxmlformats.org/officeDocument/2006/relationships/hyperlink" Id="rId160" Target="https://doi.org/10.1016/j.rse.2013.12.008" TargetMode="External" /><Relationship Type="http://schemas.openxmlformats.org/officeDocument/2006/relationships/hyperlink" Id="rId115" Target="https://doi.org/10.1016/j.rse.2016.02.054" TargetMode="External" /><Relationship Type="http://schemas.openxmlformats.org/officeDocument/2006/relationships/hyperlink" Id="rId117" Target="https://doi.org/10.1016/j.rse.2017.06.031" TargetMode="External" /><Relationship Type="http://schemas.openxmlformats.org/officeDocument/2006/relationships/hyperlink" Id="rId105" Target="https://doi.org/10.1016/j.rse.2019.02.013" TargetMode="External" /><Relationship Type="http://schemas.openxmlformats.org/officeDocument/2006/relationships/hyperlink" Id="rId173" Target="https://doi.org/10.1029/2005JD006318" TargetMode="External" /><Relationship Type="http://schemas.openxmlformats.org/officeDocument/2006/relationships/hyperlink" Id="rId121" Target="https://doi.org/10.1038/ncomms8537" TargetMode="External" /><Relationship Type="http://schemas.openxmlformats.org/officeDocument/2006/relationships/hyperlink" Id="rId142" Target="https://doi.org/10.1038/s41467-020-18321-y" TargetMode="External" /><Relationship Type="http://schemas.openxmlformats.org/officeDocument/2006/relationships/hyperlink" Id="rId147" Target="https://doi.org/10.1038/s41586-019-0912-1" TargetMode="External" /><Relationship Type="http://schemas.openxmlformats.org/officeDocument/2006/relationships/hyperlink" Id="rId97" Target="https://doi.org/10.1038/s41597-019-0312-2" TargetMode="External" /><Relationship Type="http://schemas.openxmlformats.org/officeDocument/2006/relationships/hyperlink" Id="rId128" Target="https://doi.org/10.1038/s42256-019-0138-9" TargetMode="External" /><Relationship Type="http://schemas.openxmlformats.org/officeDocument/2006/relationships/hyperlink" Id="rId111" Target="https://doi.org/10.1071/WF08187" TargetMode="External" /><Relationship Type="http://schemas.openxmlformats.org/officeDocument/2006/relationships/hyperlink" Id="rId95" Target="https://doi.org/10.1071/WF12167" TargetMode="External" /><Relationship Type="http://schemas.openxmlformats.org/officeDocument/2006/relationships/hyperlink" Id="rId107" Target="https://doi.org/10.1088/1748-9326/ab020e" TargetMode="External" /><Relationship Type="http://schemas.openxmlformats.org/officeDocument/2006/relationships/hyperlink" Id="rId132" Target="https://doi.org/10.1111/2041-210X.13650" TargetMode="External" /><Relationship Type="http://schemas.openxmlformats.org/officeDocument/2006/relationships/hyperlink" Id="rId149" Target="https://doi.org/10.1111/ecog.02881" TargetMode="External" /><Relationship Type="http://schemas.openxmlformats.org/officeDocument/2006/relationships/hyperlink" Id="rId101" Target="https://doi.org/10.1111/gcb.13521" TargetMode="External" /><Relationship Type="http://schemas.openxmlformats.org/officeDocument/2006/relationships/hyperlink" Id="rId109" Target="https://doi.org/10.1111/j.2007.0906-7590.05171.x" TargetMode="External" /><Relationship Type="http://schemas.openxmlformats.org/officeDocument/2006/relationships/hyperlink" Id="rId119" Target="https://doi.org/10.1139/er-2020-0019" TargetMode="External" /><Relationship Type="http://schemas.openxmlformats.org/officeDocument/2006/relationships/hyperlink" Id="rId136" Target="https://doi.org/10.1145/1102351.1102430" TargetMode="External" /><Relationship Type="http://schemas.openxmlformats.org/officeDocument/2006/relationships/hyperlink" Id="rId103" Target="https://doi.org/10.1145/2939672.2939785" TargetMode="External" /><Relationship Type="http://schemas.openxmlformats.org/officeDocument/2006/relationships/hyperlink" Id="rId145" Target="https://doi.org/10.1145/3299869.3320212" TargetMode="External" /><Relationship Type="http://schemas.openxmlformats.org/officeDocument/2006/relationships/hyperlink" Id="rId171" Target="https://doi.org/10.1145/3514228" TargetMode="External" /><Relationship Type="http://schemas.openxmlformats.org/officeDocument/2006/relationships/hyperlink" Id="rId166" Target="https://doi.org/10.2307/143141" TargetMode="External" /><Relationship Type="http://schemas.openxmlformats.org/officeDocument/2006/relationships/hyperlink" Id="rId126" Target="https://doi.org/10.2307/1939924" TargetMode="External" /><Relationship Type="http://schemas.openxmlformats.org/officeDocument/2006/relationships/hyperlink" Id="rId93" Target="https://doi.org/10.3390/rs10091438" TargetMode="External" /><Relationship Type="http://schemas.openxmlformats.org/officeDocument/2006/relationships/hyperlink" Id="rId99" Target="https://doi.org/10.3390/s20226442" TargetMode="External" /><Relationship Type="http://schemas.openxmlformats.org/officeDocument/2006/relationships/hyperlink" Id="rId134" Target="https://doi.org/10.5194/essd-13-4349-2021" TargetMode="External" /><Relationship Type="http://schemas.openxmlformats.org/officeDocument/2006/relationships/hyperlink" Id="rId164" Target="https://doi.org/10.5558/tfc65258-4" TargetMode="External" /><Relationship Type="http://schemas.openxmlformats.org/officeDocument/2006/relationships/hyperlink" Id="rId156" Target="https://doi.org/10.5772/28441" TargetMode="External" /><Relationship Type="http://schemas.openxmlformats.org/officeDocument/2006/relationships/hyperlink" Id="rId90"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2026-10-25T09:56:31Z</dcterms:created>
  <dcterms:modified xsi:type="dcterms:W3CDTF">2026-10-25T09:56:31Z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2026-10-25</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