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5.png" ContentType="image/png"/>
  <Override PartName="/word/media/rId38.png" ContentType="image/png"/>
  <Override PartName="/word/media/rId31.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tbl>
      <w:tblPr>
        <w:tblStyle w:val="Table"/>
        <w:tblW w:type="pct" w:w="5000"/>
        <w:tblLayout w:type="fixed"/>
        <w:tblLook w:firstRow="0" w:lastRow="0" w:firstColumn="0" w:lastColumn="0" w:noHBand="0" w:noVBand="0" w:val="0000"/>
      </w:tblPr>
      <w:tblGrid>
        <w:gridCol w:w="7920"/>
      </w:tblGrid>
      <w:tr>
        <w:tc>
          <w:tcPr/>
          <w:bookmarkStart w:id="12" w:name="fig-graphical"/>
          <w:p>
            <w:pPr>
              <w:pStyle w:val="Compact"/>
              <w:jc w:val="center"/>
            </w:pPr>
            <w:r>
              <w:drawing>
                <wp:inline>
                  <wp:extent cx="4054501" cy="1621189"/>
                  <wp:effectExtent b="0" l="0" r="0" t="0"/>
                  <wp:docPr descr="" title="" id="10" name="Picture"/>
                  <a:graphic>
                    <a:graphicData uri="http://schemas.openxmlformats.org/drawingml/2006/picture">
                      <pic:pic>
                        <pic:nvPicPr>
                          <pic:cNvPr descr="../../entregables/figuras/graphical_abstract.png" id="11" name="Picture"/>
                          <pic:cNvPicPr>
                            <a:picLocks noChangeArrowheads="1" noChangeAspect="1"/>
                          </pic:cNvPicPr>
                        </pic:nvPicPr>
                        <pic:blipFill>
                          <a:blip r:embed="rId9"/>
                          <a:stretch>
                            <a:fillRect/>
                          </a:stretch>
                        </pic:blipFill>
                        <pic:spPr bwMode="auto">
                          <a:xfrm>
                            <a:off x="0" y="0"/>
                            <a:ext cx="4054501" cy="16211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abstract. Temporal skill is not spatial skill: M3 provides a temporal ignition nowcast, M2 remains the fallback in unseen blocks, and decision value is concentrated in propagation. Figure 2 details the computational framework.</w:t>
            </w:r>
          </w:p>
          <w:bookmarkEnd w:id="12"/>
        </w:tc>
      </w:tr>
    </w:tbl>
    <w:bookmarkStart w:id="13"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3"/>
    <w:bookmarkStart w:id="22" w:name="computational-framework"/>
    <w:p>
      <w:pPr>
        <w:pStyle w:val="Heading1"/>
      </w:pPr>
      <w:r>
        <w:t xml:space="preserve">2. Computational framework</w:t>
      </w:r>
    </w:p>
    <w:bookmarkStart w:id="14"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2</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Computational framework. (a) Daily 1-km² inputs (VIIRS 375 m, ERA5-Land 3-hourly, MapBiomas C2, Hansen GFC and causal historical priors) pass through a biophysical gate (</w:t>
            </w:r>
            <w:r>
              <w:rPr>
                <w:rStyle w:val="VerbatimChar"/>
              </w:rPr>
              <w:t xml:space="preserve">R48h</w:t>
            </w:r>
            <w:r>
              <w:t xml:space="preserve"> </w:t>
            </w:r>
            <w:r>
              <w:t xml:space="preserve">&lt; 10 mm is 48-h rainfall; fuel = 1, VPD ≥ 0.8 kPa); the gate removes 21.7 % of cell-days but retains 97.17 % of thermal detections and is not a label filter. (b) D2 uses</w:t>
            </w:r>
            <w:r>
              <w:t xml:space="preserve"> </w:t>
            </w:r>
            <w:r>
              <w:rPr>
                <w:rStyle w:val="VerbatimChar"/>
              </w:rPr>
              <w:t xml:space="preserve">N25(i,t−1)</w:t>
            </w:r>
            <w:r>
              <w:t xml:space="preserve"> </w:t>
            </w:r>
            <w:r>
              <w:t xml:space="preserve">for the set of cells within 25 km with fire at t−1 and</w:t>
            </w:r>
            <w:r>
              <w:t xml:space="preserve"> </w:t>
            </w:r>
            <w:r>
              <w:rPr>
                <w:rStyle w:val="VerbatimChar"/>
              </w:rPr>
              <w:t xml:space="preserve">H10(i,t)</w:t>
            </w:r>
            <w:r>
              <w:t xml:space="preserve"> </w:t>
            </w:r>
            <w:r>
              <w:t xml:space="preserve">for any same-cell detection in the previous 10 d; the domains are disjoint. Same-cell 2–10 d recurrences without a t−1 neighbour remain candidate negatives. (c) The 1:10 case-control sample is used for ignition and population denominators are retained. M3 is used where</w:t>
            </w:r>
            <w:r>
              <w:t xml:space="preserve"> </w:t>
            </w:r>
            <w:r>
              <w:rPr>
                <w:rStyle w:val="VerbatimChar"/>
              </w:rPr>
              <w:t xml:space="preserve">freq_hist_1km &gt; 0</w:t>
            </w:r>
            <w:r>
              <w:t xml:space="preserve"> </w:t>
            </w:r>
            <w:r>
              <w:t xml:space="preserve">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 Supplementary Figure S11;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archived in the v2.0.1 data release (</w:t>
      </w:r>
      <w:r>
        <w:rPr>
          <w:rStyle w:val="VerbatimChar"/>
        </w:rPr>
        <w:t xml:space="preserve">Incendios_PY_data_v2.0.1.zip</w:t>
      </w:r>
      <w:r>
        <w:t xml:space="preserve">, 1.18 GB) at</w:t>
      </w:r>
      <w:r>
        <w:t xml:space="preserve"> </w:t>
      </w:r>
      <w:hyperlink r:id="rId52">
        <w:r>
          <w:rPr>
            <w:rStyle w:val="Hyperlink"/>
          </w:rPr>
          <w:t xml:space="preserve">github.com/sanchezmartin093-code/Incendios_PY/releases/tag/v2.0.1</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The v2.1.0 code and tabular artifacts are in the v2.1.0 GitHub release and in</w:t>
      </w:r>
      <w:r>
        <w:t xml:space="preserve"> </w:t>
      </w:r>
      <w:r>
        <w:rPr>
          <w:rStyle w:val="VerbatimChar"/>
        </w:rPr>
        <w:t xml:space="preserve">tablas_maestro.xlsx</w:t>
      </w:r>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public data asset is 1.18 GB compressed; the full working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6">
        <w:r>
          <w:rPr>
            <w:rStyle w:val="Hyperlink"/>
          </w:rPr>
          <w:t xml:space="preserve">github.com/sanchezmartin093-code/Incendios_PY</w:t>
        </w:r>
      </w:hyperlink>
      <w:r>
        <w:t xml:space="preserve">. Code concept DOI:</w:t>
      </w:r>
      <w:r>
        <w:t xml:space="preserve"> </w:t>
      </w:r>
      <w:hyperlink r:id="rId57">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The v2.1.0 source snapshot is the GitHub release; the concept DOIs identify the archived code and data series.</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 xml:space="preserve">Funding</w:t>
      </w:r>
    </w:p>
    <w:p>
      <w:pPr>
        <w:pStyle w:val="FirstParagraph"/>
      </w:pPr>
      <w:r>
        <w:t xml:space="preserve">This research received no specific grant from public, commercial or not-for-profit funding agencies.</w:t>
      </w:r>
    </w:p>
    <w:bookmarkEnd w:id="59"/>
    <w:bookmarkStart w:id="60" w:name="competing-interests"/>
    <w:p>
      <w:pPr>
        <w:pStyle w:val="Heading1"/>
      </w:pPr>
      <w:r>
        <w:t xml:space="preserve">Competing interests</w:t>
      </w:r>
    </w:p>
    <w:p>
      <w:pPr>
        <w:pStyle w:val="FirstParagraph"/>
      </w:pPr>
      <w:r>
        <w:t xml:space="preserve">The author declares no competing financial or non-financial interests.</w:t>
      </w:r>
    </w:p>
    <w:bookmarkEnd w:id="60"/>
    <w:bookmarkStart w:id="61"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 xml:space="preserve">References</w:t>
      </w:r>
    </w:p>
    <w:bookmarkStart w:id="113" w:name="refs"/>
    <w:bookmarkStart w:id="63"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 xml:space="preserve">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5">
        <w:r>
          <w:rPr>
            <w:rStyle w:val="Hyperlink"/>
          </w:rPr>
          <w:t xml:space="preserve">https://chaco.mapbiomas.org/</w:t>
        </w:r>
      </w:hyperlink>
      <w:r>
        <w:t xml:space="preserve"> </w:t>
      </w:r>
      <w:r>
        <w:t xml:space="preserve">(accessed 10.28.2026).</w:t>
      </w:r>
    </w:p>
    <w:bookmarkEnd w:id="86"/>
    <w:bookmarkStart w:id="88"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 xml:space="preserve">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4">
        <w:r>
          <w:rPr>
            <w:rStyle w:val="Hyperlink"/>
          </w:rPr>
          <w:t xml:space="preserve">http://queimadas.dgi.inpe.br</w:t>
        </w:r>
      </w:hyperlink>
      <w:r>
        <w:t xml:space="preserve"> </w:t>
      </w:r>
      <w:r>
        <w:t xml:space="preserve">(accessed 10.28.2026).</w:t>
      </w:r>
    </w:p>
    <w:bookmarkEnd w:id="105"/>
    <w:bookmarkStart w:id="107"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2"/>
    <w:bookmarkEnd w:id="113"/>
    <w:bookmarkEnd w:id="114"/>
    <w:bookmarkStart w:id="115" w:name="list-of-figures"/>
    <w:p>
      <w:pPr>
        <w:pStyle w:val="Heading1"/>
      </w:pPr>
      <w:r>
        <w:t xml:space="preserve">List of Figures</w:t>
      </w:r>
    </w:p>
    <w:p>
      <w:pPr>
        <w:pStyle w:val="FirstParagraph"/>
      </w:pPr>
      <w:r>
        <w:t xml:space="preserve">Figure 1: Graphical abstract. Temporal skill is not spatial skill: temporal ignition nowcast, M2 fallback in unseen blocks and decision value in propagation.</w:t>
      </w:r>
    </w:p>
    <w:p>
      <w:pPr>
        <w:pStyle w:val="BodyText"/>
      </w:pPr>
      <w:r>
        <w:t xml:space="preserve">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4" Target="http://queimadas.dgi.inpe.br" TargetMode="External" /><Relationship Type="http://schemas.openxmlformats.org/officeDocument/2006/relationships/hyperlink" Id="rId85" Target="https://chaco.mapbiomas.org/" TargetMode="External" /><Relationship Type="http://schemas.openxmlformats.org/officeDocument/2006/relationships/hyperlink" Id="rId72" Target="https://doi.org/10.1007/s10584-015-1521-0" TargetMode="External" /><Relationship Type="http://schemas.openxmlformats.org/officeDocument/2006/relationships/hyperlink" Id="rId110" Target="https://doi.org/10.1016/j.jaridenv.2014.11.009" TargetMode="External" /><Relationship Type="http://schemas.openxmlformats.org/officeDocument/2006/relationships/hyperlink" Id="rId91" Target="https://doi.org/10.1016/j.pecon.2021.06.005" TargetMode="External" /><Relationship Type="http://schemas.openxmlformats.org/officeDocument/2006/relationships/hyperlink" Id="rId102" Target="https://doi.org/10.1016/j.rse.2013.12.008" TargetMode="External" /><Relationship Type="http://schemas.openxmlformats.org/officeDocument/2006/relationships/hyperlink" Id="rId78" Target="https://doi.org/10.1038/ncomms8537" TargetMode="External" /><Relationship Type="http://schemas.openxmlformats.org/officeDocument/2006/relationships/hyperlink" Id="rId94" Target="https://doi.org/10.1038/s41467-020-18321-y" TargetMode="External" /><Relationship Type="http://schemas.openxmlformats.org/officeDocument/2006/relationships/hyperlink" Id="rId83" Target="https://doi.org/10.1038/s42256-019-0138-9" TargetMode="External" /><Relationship Type="http://schemas.openxmlformats.org/officeDocument/2006/relationships/hyperlink" Id="rId70" Target="https://doi.org/10.1071/WF08187" TargetMode="External" /><Relationship Type="http://schemas.openxmlformats.org/officeDocument/2006/relationships/hyperlink" Id="rId98"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4" Target="https://doi.org/10.1126/science.1244693" TargetMode="External" /><Relationship Type="http://schemas.openxmlformats.org/officeDocument/2006/relationships/hyperlink" Id="rId76" Target="https://doi.org/10.1139/er-2020-0019" TargetMode="External" /><Relationship Type="http://schemas.openxmlformats.org/officeDocument/2006/relationships/hyperlink" Id="rId89" Target="https://doi.org/10.1145/1102351.1102430" TargetMode="External" /><Relationship Type="http://schemas.openxmlformats.org/officeDocument/2006/relationships/hyperlink" Id="rId96" Target="https://doi.org/10.1145/3299869.3320212" TargetMode="External" /><Relationship Type="http://schemas.openxmlformats.org/officeDocument/2006/relationships/hyperlink" Id="rId108" Target="https://doi.org/10.2307/143141" TargetMode="External" /><Relationship Type="http://schemas.openxmlformats.org/officeDocument/2006/relationships/hyperlink" Id="rId81"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87" Target="https://doi.org/10.5194/essd-13-4349-2021" TargetMode="External" /><Relationship Type="http://schemas.openxmlformats.org/officeDocument/2006/relationships/hyperlink" Id="rId57"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6" Target="https://doi.org/10.5558/tfc65258-4" TargetMode="External" /><Relationship Type="http://schemas.openxmlformats.org/officeDocument/2006/relationships/hyperlink" Id="rId100" Target="https://doi.org/10.5772/28441" TargetMode="External" /><Relationship Type="http://schemas.openxmlformats.org/officeDocument/2006/relationships/hyperlink" Id="rId56"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2026-10-29T14:34:13Z</dcterms:created>
  <dcterms:modified xsi:type="dcterms:W3CDTF">2026-10-29T14:34:13Z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