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6.png" ContentType="image/png"/>
  <Override PartName="/word/media/rId39.png" ContentType="image/png"/>
  <Override PartName="/word/media/rId3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13"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0.5059/0.5611 del Canadian Forest Fire Weather Index (FWI) y 0.5266/0.4973 del INPE Risco de Fogo; la propagación alcanza 0.9039/0.7859. La precisión poblacional de ignición es 0.082 %/0.198 % (IC 95 % 0.075–0.088/0.178–0.222), y el valor de decisión se concentra en la propagación, lo que confirma un papel de cribado y priorización y no un sistema de alerta autónomo. La contribución es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tbl>
      <w:tblPr>
        <w:tblStyle w:val="Table"/>
        <w:tblW w:type="pct" w:w="5000"/>
        <w:tblLayout w:type="fixed"/>
        <w:tblLook w:firstRow="0" w:lastRow="0" w:firstColumn="0" w:lastColumn="0" w:noHBand="0" w:noVBand="0" w:val="0000"/>
      </w:tblPr>
      <w:tblGrid>
        <w:gridCol w:w="7920"/>
      </w:tblGrid>
      <w:tr>
        <w:tc>
          <w:tcPr/>
          <w:bookmarkStart w:id="12" w:name="fig-graphical"/>
          <w:p>
            <w:pPr>
              <w:pStyle w:val="Compact"/>
              <w:jc w:val="center"/>
            </w:pPr>
            <w:r>
              <w:drawing>
                <wp:inline>
                  <wp:extent cx="4054501" cy="1621189"/>
                  <wp:effectExtent b="0" l="0" r="0" t="0"/>
                  <wp:docPr descr="" title="" id="10" name="Picture"/>
                  <a:graphic>
                    <a:graphicData uri="http://schemas.openxmlformats.org/drawingml/2006/picture">
                      <pic:pic>
                        <pic:nvPicPr>
                          <pic:cNvPr descr="../../entregables/figuras/graphical_abstract.png" id="11" name="Picture"/>
                          <pic:cNvPicPr>
                            <a:picLocks noChangeArrowheads="1" noChangeAspect="1"/>
                          </pic:cNvPicPr>
                        </pic:nvPicPr>
                        <pic:blipFill>
                          <a:blip r:embed="rId9"/>
                          <a:stretch>
                            <a:fillRect/>
                          </a:stretch>
                        </pic:blipFill>
                        <pic:spPr bwMode="auto">
                          <a:xfrm>
                            <a:off x="0" y="0"/>
                            <a:ext cx="4054501" cy="1621189"/>
                          </a:xfrm>
                          <a:prstGeom prst="rect">
                            <a:avLst/>
                          </a:prstGeom>
                          <a:noFill/>
                          <a:ln w="9525">
                            <a:noFill/>
                            <a:headEnd/>
                            <a:tailEnd/>
                          </a:ln>
                        </pic:spPr>
                      </pic:pic>
                    </a:graphicData>
                  </a:graphic>
                </wp:inline>
              </w:drawing>
            </w:r>
          </w:p>
          <w:p>
            <w:pPr>
              <w:jc w:val="center"/>
            </w:pPr>
            <w:pPr>
              <w:jc w:val="left"/>
              <w:spacing w:before="200"/>
              <w:pStyle w:val="ImageCaption"/>
            </w:pPr>
            <w:r>
              <w:t xml:space="preserve">Figura 1: Resumen gráfico. La habilidad temporal no es habilidad espacial: M3 ofrece un nowcast temporal de ignición, M2 sigue siendo el fallback en bloques no vistos y el valor de decisión se concentra en la propagación. La Figura 2 detalla el marco computacional.</w:t>
            </w:r>
          </w:p>
          <w:bookmarkEnd w:id="12"/>
        </w:tc>
      </w:tr>
    </w:tbl>
    <w:bookmarkEnd w:id="13"/>
    <w:bookmarkStart w:id="14"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el valor operativo. La Sección 4 discute por qué fallan los índices canónicos, qué aporta el desacoplamiento y dónde falla, y las limitaciones del estudio. La Sección 5 concluye.</w:t>
      </w:r>
    </w:p>
    <w:bookmarkEnd w:id="14"/>
    <w:bookmarkStart w:id="23" w:name="marco-computacional"/>
    <w:p>
      <w:pPr>
        <w:pStyle w:val="Heading1"/>
      </w:pPr>
      <w:r>
        <w:t xml:space="preserve">2. Marco computacional</w:t>
      </w:r>
    </w:p>
    <w:bookmarkStart w:id="15"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Las detecciones recurrentes en la misma celda dentro de 2–10 días sin un vecino activo a menos de 25 km el día</w:t>
      </w:r>
      <w:r>
        <w:t xml:space="preserve"> </w:t>
      </w:r>
      <m:oMath>
        <m:r>
          <m:t>t</m:t>
        </m:r>
        <m:r>
          <m:rPr>
            <m:sty m:val="p"/>
          </m:rPr>
          <m:t>−</m:t>
        </m:r>
        <m:r>
          <m:t>1</m:t>
        </m:r>
      </m:oMath>
      <w:r>
        <w:t xml:space="preserve"> </w:t>
      </w:r>
      <w:r>
        <w:t xml:space="preserve">—típicamente brasas latentes multidiarias u omisiones satelitales por nubosidad— no se asignan a ninguno de los conjuntos positivos; permanecen como negativas candidatas. Esto evita que la persistencia de brasas contamine el objetivo de ignición. El umbral de 25 km es una restricción de dominio, no un buffer de muestreo negativo; no se aplica un buffer de 20 km a la muestra de test. El buffer se usa solo en el holdout de bloques espaciales descrito más abajo.</w:t>
      </w:r>
    </w:p>
    <w:bookmarkEnd w:id="15"/>
    <w:bookmarkStart w:id="20"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Estos umbrales son operativos más que un modelo formal de extinción: las celdas-día con VPD &lt; 0.8 kPa o ≥ 10 mm de lluvia en 48 h se excluyen por húmedas o persistentemente húmedas, mientras que se retienen combustibles finos suficientemente curados. El gate no se usa como filtro de etiquetas: solo elimina candidatos físicamente implausibles. Un gate más estricto y una muestra independiente sin gate se evalúan en la Nota S5.6 y la Tabla S31; ninguno cambia el ranking de los modelos.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2</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9" w:name="fig-framework"/>
          <w:p>
            <w:pPr>
              <w:pStyle w:val="Compact"/>
              <w:jc w:val="center"/>
            </w:pPr>
            <w:r>
              <w:drawing>
                <wp:inline>
                  <wp:extent cx="5334000" cy="3934472"/>
                  <wp:effectExtent b="0" l="0" r="0" t="0"/>
                  <wp:docPr descr="" title="" id="17" name="Picture"/>
                  <a:graphic>
                    <a:graphicData uri="http://schemas.openxmlformats.org/drawingml/2006/picture">
                      <pic:pic>
                        <pic:nvPicPr>
                          <pic:cNvPr descr="../../entregables/figuras/fig01_framework_conceptual.png" id="18" name="Picture"/>
                          <pic:cNvPicPr>
                            <a:picLocks noChangeArrowheads="1" noChangeAspect="1"/>
                          </pic:cNvPicPr>
                        </pic:nvPicPr>
                        <pic:blipFill>
                          <a:blip r:embed="rId16"/>
                          <a:stretch>
                            <a:fillRect/>
                          </a:stretch>
                        </pic:blipFill>
                        <pic:spPr bwMode="auto">
                          <a:xfrm>
                            <a:off x="0" y="0"/>
                            <a:ext cx="5334000" cy="3934472"/>
                          </a:xfrm>
                          <a:prstGeom prst="rect">
                            <a:avLst/>
                          </a:prstGeom>
                          <a:noFill/>
                          <a:ln w="9525">
                            <a:noFill/>
                            <a:headEnd/>
                            <a:tailEnd/>
                          </a:ln>
                        </pic:spPr>
                      </pic:pic>
                    </a:graphicData>
                  </a:graphic>
                </wp:inline>
              </w:drawing>
            </w:r>
          </w:p>
          <w:p>
            <w:pPr>
              <w:jc w:val="center"/>
            </w:pPr>
            <w:pPr>
              <w:jc w:val="left"/>
              <w:spacing w:before="200"/>
              <w:pStyle w:val="ImageCaption"/>
            </w:pPr>
            <w:r>
              <w:t xml:space="preserve">Figura 2: Marco computacional. (a) Los insumos diarios de 1 km² (VIIRS 375 m, ERA5-Land 3-hourly, MapBiomas C2, Hansen GFC y priors históricos causales) pasan por una compuerta biofísica (</w:t>
            </w:r>
            <w:r>
              <w:rPr>
                <w:rStyle w:val="VerbatimChar"/>
              </w:rPr>
              <w:t xml:space="preserve">R48h</w:t>
            </w:r>
            <w:r>
              <w:t xml:space="preserve"> </w:t>
            </w:r>
            <w:r>
              <w:t xml:space="preserve">&lt; 10 mm es la lluvia de 48 h; fuel = 1, VPD ≥ 0.8 kPa); la compuerta elimina 21.7 % de los cell-days pero retiene 97.17 % de las detecciones térmicas y no filtra etiquetas. (b) D2 usa</w:t>
            </w:r>
            <w:r>
              <w:t xml:space="preserve"> </w:t>
            </w:r>
            <w:r>
              <w:rPr>
                <w:rStyle w:val="VerbatimChar"/>
              </w:rPr>
              <w:t xml:space="preserve">N25(i,t−1)</w:t>
            </w:r>
            <w:r>
              <w:t xml:space="preserve"> </w:t>
            </w:r>
            <w:r>
              <w:t xml:space="preserve">para el conjunto de celdas a ≤25 km con fuego en t−1 y</w:t>
            </w:r>
            <w:r>
              <w:t xml:space="preserve"> </w:t>
            </w:r>
            <w:r>
              <w:rPr>
                <w:rStyle w:val="VerbatimChar"/>
              </w:rPr>
              <w:t xml:space="preserve">H10(i,t)</w:t>
            </w:r>
            <w:r>
              <w:t xml:space="preserve"> </w:t>
            </w:r>
            <w:r>
              <w:t xml:space="preserve">para cualquier detección en la misma celda en los 10 d previos; los dominios son disjuntos. Las recurrencias en la misma celda de 2–10 d sin un vecino en t−1 permanecen como negativos candidatos. (c) La muestra caso-control 1:10 se usa para ignición y se conservan los denominadores poblacionales. M3 se usa donde</w:t>
            </w:r>
            <w:r>
              <w:t xml:space="preserve"> </w:t>
            </w:r>
            <w:r>
              <w:rPr>
                <w:rStyle w:val="VerbatimChar"/>
              </w:rPr>
              <w:t xml:space="preserve">freq_hist_1km &gt; 0</w:t>
            </w:r>
            <w:r>
              <w:t xml:space="preserve"> </w:t>
            </w:r>
            <w:r>
              <w:t xml:space="preserve">y M2 donde es 0; la propagación usa un kernel causal en t−1. Las probabilidades se calibran con una transformación de Platt monótona por tarea, ajustada en 2023 y congelada; el corte F0.5 se aplica tras la corrección de prevalencia. M1 (24 variables) es una línea base diagnóstica y no se muestra. (d) La evaluación usa un split temporal congelado (2018–2022/2023/2024–2025), bloques de 50 km con un buffer de 20 km, bootstrap agrupado por fecha (500 IC de AUC; 1 000 pareadas), cost-loss y código/datos abiertos. El radio de 25 km es el target D2; el buffer de 20 km se aplica solo al holdout espacial. Los endpoints son ROC-AUC, PR-AUC, Brier, ECE, cobertura conformal, precisión/recall poblacional y lift; el código/datos, el DOI y los hashes están archivados.</w:t>
            </w:r>
          </w:p>
          <w:bookmarkEnd w:id="19"/>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y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20"/>
    <w:bookmarkStart w:id="21"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 el protocolo de robustez está en la Nota S5.</w:t>
      </w:r>
    </w:p>
    <w:bookmarkEnd w:id="21"/>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y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 la Figura S11 del material suplementario;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bookmarkEnd w:id="22"/>
    <w:bookmarkEnd w:id="23"/>
    <w:bookmarkStart w:id="46"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El margen preespecificado δ = 0.01 se cumplió en Oriental para ROC-AUC y PR-AUC, pero no en el Chaco: las ganancias del Chaco fueron +0.0028 y +0.0089, por debajo de δ, aunque ambos intervalos excluyen cero. Por tanto, no se afirma que M3 sea superior a M2 en el Chaco. La arquitectura compartida usa M3 donde existe historia de fuego porque el componente de propagación es el objetivo operativo; la ganancia de ignición en el Chaco es incremental.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5.3× y 4.8× superior al azar, mientras que la de propagación es aproximadamente 62× y 23× superior. Con ponderación poblacional, M2 supera ligeramente a M3 en ROC-AUC poblacional del Chaco (0.8078 vs. 0.8059) y en precisión (0.090 % vs. 0.082 %), mientras que M3 lidera en la Región Oriental (0.7627 vs. 0.7549).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+0.2963 en el Chaco y +0.1922 en la Región Oriental, y al INPE por +0.2756 y +0.2561.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3.1285 y 0.0364 en el Chaco y 20.4720 y 0.0596 en Oriental para FWI e INPE, respectivamente. La implementación completa, incluidos los códigos de combustible, la inicialización y la meteorología del mismo día, se documenta en la Nota S4 del suplemento.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0.5059/0.5611 y el INPE de 0.5266/0.4973;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Como la implementación del INPE pondera A por fracciones de cobertura (la especificación primaria), repetimos el benchmark con A fija = 3.0 (el coeficiente INPE de sabana abierta, fijado a priori). La versión fija alcanza ROC-AUC 0.4976/0.5497 frente a 0.5266/0.4973 con A local (ΔROC = −0.0290/+0.0524; p = 0.001; Tabla S22). El signo de la diferencia depende de la región, pero ambas versiones quedan muy por debajo de M3 (0.8021/0.7534), por lo que el débil desempeño del INPE no es un artefacto de la ponderación local de A. Combinar los dos índices con el conjunto completo de variables de M3 no cierra la brecha: el GBT aumentado alcanza ROC-AUC 0.8018/0.7548 frente a 0.8021/0.7534 de M3 (Δ = −0.0003/+0.0015; p = 0.612/0.001; Tabla S11 continuación). Una vez que existen combustible, accesibilidad y contexto histórico, los índices no aportan información de ranking esencial; en Oriental la pequeña ganancia es estadísticamente detectable pero operativamente despreciable.</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+0.0453/+0.0034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de 1 km² únicas; 16 579/14 551 celdas-día de ignición muestreadas en Chaco/Oriental),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(+0.0059/+0.0059;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 El aumento de ROC-AUC en el subconjunto sin fuego en entrenamiento es consistente con la eliminación de celdas crónicamente quemadas que actúan como negativos difíciles; como la prevalencia cae a 7.66 % en el Chaco, PR-AUC y precisión no son directamente comparables entre subconjuntos.</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 Un backtest rolling-origin de cuatro folds reentrenó M1/M2/M3 con entrenamiento hasta Y−2, validación en Y−1 y test en Y. La diferencia de ROC-AUC M3−M2 fue +0.0030/+0.0059 en 2022, +0.0029/+0.0120 en 2023, +0.0038/+0.0166 en 2024 y +0.0019/+0.0084 en 2025 (Chaco/Oriental); los p correspondientes fueron 0.032/0.006, 0.082/0.001, 0.004/0.001 y 0.148/0.001. El signo fue positivo en las ocho comparaciones región-fold, y M1 quedó por debajo de M2 en todos los folds (Tabla S26; Figura S5). El orden temporal no es, por tanto, un artefacto del único split 2024–2025. En 20 corridas (cinco semillas × dos capacidades × dos regiones), la diferencia M3−M2 se mantuvo positiva en todas, con diferencias medias de +0.0036/+0.0035 en el Chaco y +0.0128/+0.0128 en Oriental para las configuraciones actual/alta capacidad (Tabla S25). La validación adversarial separa las filas de entrenamiento (2018–2022) de las de test (2024–2025) con AUC 0.8832/0.9241 (Chaco/Oriental); el día del año, los armónicos estacionales, la densidad histórica a 25 km y el déficit hídrico de 60 días dominan el discriminador (Tabla S29). El cambio de distribución es real y no lo elimina el diseño temporal; por eso los resultados espaciales y de todas las celdas se reportan por separado. Tres sensibilidades adicionales acotan el resultado. Umbrales de gate más estrictos (VPD ≥ 1.0/1.2 kPa y lluvia 48 h &lt; 5/2 mm) retuvieron 92–73 % de los positivos de test y mantuvieron a M3 por encima de M2 y FWI; quitar el gate por completo (muestra 1:10 independiente) bajó M3 a 0.7924/0.7510 y M2 a 0.7833/0.7379, pero M3 siguió por encima de M2 (+0.0091/+0.0131) y de FWI (0.4988/0.5528; Tabla S31). Restringir las etiquetas a detecciones de confianza alta retuvo 12.2 %/6.5 % de los positivos y elevó el ROC-AUC a 0.8228/0.7793, pero la precisión–recall cayó (0.0719/0.0246) porque el subconjunto retenido tiene otra prevalencia; FRP ≥ 10 MW retuvo 31.9 %/19.0 % y dio 0.8136/0.7763 (Tabla S30). La variante de máscara de nubes no está disponible. El muestreo 1:5 cambió el ROC-AUC en menos de 0.001; la muestra 1:20 independiente bajó el ROC-AUC de M3 en el Chaco a 0.7926 y la precisión poblacional ~7 %, mientras Oriental quedó estable (0.7526), y M3 siguió por encima de M2 en ambas regiones (Tabla S28). Un control negativo con etiquetas permutadas alcanzó AUC 0.6297/0.5138; quitar las variables históricas no eliminó el exceso (0.6276/0.5168), lo que indica asociación residual de celda o fuga de variables en el Chaco (Tabla S32; Figura S7). El score de M3 debe leerse, por tanto, como una señal de nowcast/priorización, no como una atribución causal. La validación espacial externa en Boquerón, tras excluir el departamento y un buffer de 25 km y recalcular los priors, reprodujo la discriminación M2/M3 (ROC-AUC 0.8104/0.8120; PR-AUC 0.2440/0.2505) pero no una ganancia M3−M2 significativa (+0.0016; p = 0.254). El FWI quedó por debajo del azar (0.4708) y el INPE alcanzó 0.5817 (Tabla S33; Figura S9). La precisión poblacional fue 0.0891 %/0.0678 % para M2/M3, con recall 16.2 %/27.1 %; M3 cambia precisión por recall. La diferencia M3−M2 fue +0.0039 (p = 0.010) con buffer de 20 km, +0.0016 (p = 0.254) con 25 km y +0.0020 (p = 0.206) con 30 km (Tabla S33b), por lo que la ventaja híbrida no es robusta al buffer. El ranking se transporta espacialmente, pero la preferencia operativa por M3 frente a M2 no.</w:t>
      </w:r>
    </w:p>
    <w:bookmarkEnd w:id="38"/>
    <w:bookmarkStart w:id="43" w:name="valor-operativo"/>
    <w:p>
      <w:pPr>
        <w:pStyle w:val="Heading2"/>
      </w:pPr>
      <w:r>
        <w:t xml:space="preserve">3.4 Valor operativo</w:t>
      </w:r>
    </w:p>
    <w:p>
      <w:pPr>
        <w:pStyle w:val="FirstParagraph"/>
      </w:pPr>
      <w:r>
        <w:t xml:space="preserve">El análisis cost-loss es sobrio para la ignición: en el Chaco, M3 y M2 son indistinguibles en todos los α (los intervalos pareados de ΔV incluyen cero) y la estimación puntual de M2 es marginalmente superior en el óptimo (0.373 frente a 0.372). En Oriental, M3 supera a M2 para α = 0.0002–0.005. Frente al FWI, M3 tiene valor de decisión positivo para α = 0.0001–0.001 en el Chaco y 0.0001–0.005 en Oriental (los intervalos pareados excluyen cero; Tabla S24 del suplemento). La capa de propagación sí muestra valor cerca de</w:t>
      </w:r>
      <w:r>
        <w:t xml:space="preserve"> </w:t>
      </w:r>
      <w:r>
        <w:rPr>
          <w:i/>
          <w:iCs/>
        </w:rPr>
        <w:t xml:space="preserve">α</w:t>
      </w:r>
      <w:r>
        <w:t xml:space="preserve"> </w:t>
      </w:r>
      <w:r>
        <w:t xml:space="preserve">= 0.002: V = 0.628 [0.608–0.646] en el Chaco y 0.399 [0.371–0.419] en Oriental, con intervalos que excluyen cero. La tabla y las curvas completas, con bandas bootstrap del 95 % agrupadas por fecha (B = 1 000), están en la Tabla S14 y la Figura S3 del suplemento. El producto operativo prioriza, por tanto, la propagación y usa la ignición como capa de cribado: la ignición aporta valor de decisión frente al FWI en α bajo, pero no frente a M2 en el Chaco.</w:t>
      </w:r>
    </w:p>
    <w:p>
      <w:pPr>
        <w:pStyle w:val="BodyText"/>
      </w:pPr>
      <w:r>
        <w:t xml:space="preserve">El análisis de curvas de decisión sobre la muestra caso-control (Figura S4; Tabla S23) reproduce el orden: con</w:t>
      </w:r>
      <w:r>
        <w:t xml:space="preserve"> </w:t>
      </w:r>
      <m:oMath>
        <m:sSub>
          <m:e>
            <m:r>
              <m:t>p</m:t>
            </m:r>
          </m:e>
          <m:sub>
            <m:r>
              <m:t>t</m:t>
            </m:r>
          </m:sub>
        </m:sSub>
        <m:r>
          <m:rPr>
            <m:sty m:val="p"/>
          </m:rPr>
          <m:t>=</m:t>
        </m:r>
        <m:r>
          <m:t>0.10</m:t>
        </m:r>
      </m:oMath>
      <w:r>
        <w:t xml:space="preserve">, M3 rinde 37.6/29.4 detecciones netas por 1 000 celdas-día muestreadas, M2 37.7/27.3, M1 13.5/19.9 y FWI −0.01/4.1 (Chaco/Oriental); el modelo de propagación sigue siendo positivo hasta</w:t>
      </w:r>
      <w:r>
        <w:t xml:space="preserve"> </w:t>
      </w:r>
      <m:oMath>
        <m:sSub>
          <m:e>
            <m:r>
              <m:t>p</m:t>
            </m:r>
          </m:e>
          <m:sub>
            <m:r>
              <m:t>t</m:t>
            </m:r>
          </m:sub>
        </m:sSub>
        <m:r>
          <m:rPr>
            <m:sty m:val="p"/>
          </m:rPr>
          <m:t>≈</m:t>
        </m:r>
        <m:r>
          <m:t>0.7</m:t>
        </m:r>
      </m:oMath>
      <w:r>
        <w:t xml:space="preserve">. Como el beneficio neto se calcula sobre la muestra caso-control, complementa el valor de decisión ponderado por población de la Tabla S14.</w:t>
      </w:r>
    </w:p>
    <w:p>
      <w:pPr>
        <w:pStyle w:val="BodyText"/>
      </w:pPr>
      <w:r>
        <w:t xml:space="preserve">En términos operativos (Tabla S23), con el corte de ignición congelado M3 emite 8 238/3 073 alertas por día en Chaco/Oriental con una precisión poblacional de 0.082/0.198 % (1 227/504 alertas por acierto; lift 5.3×/4.8×). Un presupuesto de 100 alertas/día eleva la precisión de ignición solo a 0.21/0.66 % (recall 0.86/2.24 %), lo que confirma que la ignición es una capa de cribado. La propagación requiere 10.3/20.9 alertas por acierto (lift 62×/23×) con 452/525 alertas/día; con 100/día su precisión es 22.1/10.0 % y su recall 25.7/7.5 %. El α que maximiza V(α) es 0.0001–0.0005 para ignición y 0.002 para propagación. El corte F0.5 no es el único privilegiado. Seleccionar cortes por F1, F2 o Youden cambia el punto operativo pero no la conclusión (Tabla S14 continuación; Figura S6). Para la ignición M3 en el Chaco, precisión/recall pasan de 0.328/0.303 con F0.5 a 0.273/0.494 con F1 y 0.182/0.815 con F2; en Oriental pasan de 0.301/0.186 a 0.235/0.390 y 0.173/0.699. La propagación sigue siendo la capa más fuerte: en Chaco la precisión/recall es 0.837/0.524 con F0.5 y 0.515/0.702 con F2; en Oriental 0.650/0.199 y 0.215/0.632. El orden cribado/propagación es, por tanto, robusto al criterio de umbral.</w:t>
      </w:r>
    </w:p>
    <w:p>
      <w:pPr>
        <w:pStyle w:val="BodyText"/>
      </w:pPr>
      <w:r>
        <w:t xml:space="preserve">En sus puntos operativos F0.5 congelados, FWI tiene valor de decisión positivo solo con α = 0.0001 en el Chaco (V = 0.070) y α = 0.0005 en Oriental (V = 0.077); INPE no es positivo en ningún α (V ≤ 0). Incluso en esa ventana estrecha, FWI queda muy por debajo de M3 (0.372/0.313). Dar a los índices su mejor umbral de validación en cada α no cambia el orden (Tabla S24). La ventaja de AUC de M3 se traduce, por tanto, en valor de decisión frente a los índices, pero no de forma uniforme frente a M2.</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 El anillo conspicuo de alertas altas en el norte de Alto Paraguay es la huella de propagación de 25 km en t−1 alrededor del frente de Chovoreca, no una predicción independiente de ignición.</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alibración"/>
    <w:p>
      <w:pPr>
        <w:pStyle w:val="Heading2"/>
      </w:pPr>
      <w:r>
        <w:t xml:space="preserve">3.5 Calibración</w:t>
      </w:r>
    </w:p>
    <w:p>
      <w:pPr>
        <w:pStyle w:val="FirstParagraph"/>
      </w:pPr>
      <w:r>
        <w:t xml:space="preserve">El error de calibración esperado de M3 es 0.0082/0.0082 en Chaco/Oriental (Tabla S11), y 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La tabla completa de cobertura conformal empírica está en la Tabla S5 del suplemento, y los errores de calibración esperados de los modelos de referencia están en la Tabla S11.</w:t>
      </w:r>
    </w:p>
    <w:bookmarkEnd w:id="44"/>
    <w:bookmarkStart w:id="45" w:name="comprobaciones-de-reproducibilidad"/>
    <w:p>
      <w:pPr>
        <w:pStyle w:val="Heading2"/>
      </w:pPr>
      <w:r>
        <w:t xml:space="preserve">3.6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v2.1.0; los DOI conceptuales de código y datos se reportan en las secciones de disponibilidad.</w:t>
      </w:r>
    </w:p>
    <w:bookmarkEnd w:id="45"/>
    <w:bookmarkEnd w:id="46"/>
    <w:bookmarkStart w:id="51" w:name="discusión"/>
    <w:p>
      <w:pPr>
        <w:pStyle w:val="Heading1"/>
      </w:pPr>
      <w:r>
        <w:t xml:space="preserve">4. Discusión</w:t>
      </w:r>
    </w:p>
    <w:bookmarkStart w:id="47"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El FWI es puramente meteorológico; la formulación del INPE usada aquí incorpora fracciones de cobertura, pero ninguno de los dos contiene la información antrópica y de accesibilidad a escala fina que domina la ignición en el Chaco,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 Estos índices no solo rankean peor: dondequiera que alguno siga siendo positivo, también generan menos valor de decisión que M3 (Tabla S14).</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7"/>
    <w:bookmarkStart w:id="48"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Un control negativo con etiquetas permutadas afina este punto. Reentrenar M3 con etiquetas de entrenamiento permutadas da AUC 0.6297/0.5138, y quitar las variables históricas no elimina el exceso (0.6276/0.5168). Un control sin fuga debería estar cerca de 0.5. El exceso en el Chaco indica, por tanto, información residual de celda o de variables: no prueba que el ranking principal sea erróneo, pero obliga a evitar una lectura causal y a auditar los priors históricos y los descriptores estáticos de celda. El control se reporta en la Tabla S32 y la Figura S7.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 Una cuarta visión, el valor de decisión, pregunta si el ranking sobrevive a una relación cost-loss; es la visión que determina el uso operativo.</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8"/>
    <w:bookmarkStart w:id="49"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9"/>
    <w:bookmarkStart w:id="50"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dos macro-regiones de Paraguay e incluye solo una prueba exploratoria entre países en Formosa; esa prueba no alcanzó el umbral pre-registrado de transporte y no es una validación multi-país completa.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La validación adversarial alcanza AUC 0.8832/0.9241, lo que confirma que el cambio temporal es sustancial y está impulsado principalmente por variables estacionales y de densidad histórica (Tabla S29). Un control negativo con etiquetas permutadas sigue por encima del azar en el Chaco (0.63), por lo que no se puede excluir una señal residual de celda o histórica; el score es una señal de nowcast, no una atribución causal. M3 pierde su ventaja predictiva en bloques espaciales no vistos, lo que exige a M2 como respaldo operativo mientras M1 sigue siendo una línea base insuficiente; El test de Boquerón es dentro de Paraguay y aporta métricas poblacionales derivadas; el piloto entre países en Formosa fue exploratorio, usó otra fuente climática (CDS/Hargreaves) y no alcanzó el umbral de transporte, por lo que la pequeña ganancia de M3 allí no es evidencia de superioridad entre países.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50"/>
    <w:bookmarkEnd w:id="51"/>
    <w:bookmarkStart w:id="52"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0.5059/0.5611) y al Risco de Fogo del INPE (0.5266/0.4973),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Los análisis de curvas de decisión y cost-loss ubican la ganancia operativa en la propagación (V = 0.63/0.40 con α = 0.002) y en la ignición solo como capa de cribado de α bajo, lo que sitúa al sistema como una herramienta operativa de cribado y priorización y no como un sistema de alerta autónomo. Un control negativo con etiquetas permutadas sigue por encima del azar en el Chaco (0.63), por lo que este ranking es una señal de nowcast y no una atribución causal. Un test externo leave-one-department-out en Boquerón reprodujo la discriminación M2/M3 (0.8104/0.8120) pero no una ganancia M3−M2 significativa (+0.0016, p = 0.254); el FWI quedó por debajo del azar (0.4708) y el INPE alcanzó 0.5817.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2"/>
    <w:bookmarkStart w:id="55" w:name="disponibilidad-de-datos"/>
    <w:p>
      <w:pPr>
        <w:pStyle w:val="Heading1"/>
      </w:pPr>
      <w:r>
        <w:t xml:space="preserve">6. Disponibilidad de datos</w:t>
      </w:r>
    </w:p>
    <w:p>
      <w:pPr>
        <w:pStyle w:val="FirstParagraph"/>
      </w:pPr>
      <w:r>
        <w:t xml:space="preserve">Los datos procesados, las predicciones de test, los modelos entrenados y las tablas derivadas están archivados en el asset de datos v2.0.1 (</w:t>
      </w:r>
      <w:r>
        <w:rPr>
          <w:rStyle w:val="VerbatimChar"/>
        </w:rPr>
        <w:t xml:space="preserve">Incendios_PY_data_v2.0.1.zip</w:t>
      </w:r>
      <w:r>
        <w:t xml:space="preserve">, 1.18 GB) del release</w:t>
      </w:r>
      <w:r>
        <w:t xml:space="preserve"> </w:t>
      </w:r>
      <w:hyperlink r:id="rId53">
        <w:r>
          <w:rPr>
            <w:rStyle w:val="Hyperlink"/>
          </w:rPr>
          <w:t xml:space="preserve">https://github.com/sanchezmartin093-code/Incendios_PY/releases/tag/v2.0.1</w:t>
        </w:r>
      </w:hyperlink>
      <w:r>
        <w:t xml:space="preserve"> </w:t>
      </w:r>
      <w:r>
        <w:t xml:space="preserve">bajo CC BY 4.0, y se documentan bajo el DOI conceptual de datos</w:t>
      </w:r>
      <w:r>
        <w:t xml:space="preserve"> </w:t>
      </w:r>
      <w:hyperlink r:id="rId54">
        <w:r>
          <w:rPr>
            <w:rStyle w:val="Hyperlink"/>
          </w:rPr>
          <w:t xml:space="preserve">10.5281/zenodo.23675278</w:t>
        </w:r>
      </w:hyperlink>
      <w:r>
        <w:t xml:space="preserve">. El código v2.1.0 y los artefactos tabulares están en el release v2.1.0 de GitHub y en</w:t>
      </w:r>
      <w:r>
        <w:t xml:space="preserve"> </w:t>
      </w:r>
      <w:r>
        <w:rPr>
          <w:rStyle w:val="VerbatimChar"/>
        </w:rPr>
        <w:t xml:space="preserve">tablas_maestro.xlsx</w:t>
      </w:r>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5"/>
    <w:bookmarkStart w:id="56"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6"/>
    <w:bookmarkStart w:id="57"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7"/>
    <w:bookmarkStart w:id="58"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8"/>
    <w:bookmarkStart w:id="59"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9"/>
    <w:bookmarkStart w:id="60"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60"/>
    <w:bookmarkStart w:id="63"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1">
        <w:r>
          <w:rPr>
            <w:rStyle w:val="Hyperlink"/>
          </w:rPr>
          <w:t xml:space="preserve">https://github.com/sanchezmartin093-code/Incendios_PY</w:t>
        </w:r>
      </w:hyperlink>
      <w:r>
        <w:br/>
      </w:r>
      <w:r>
        <w:rPr>
          <w:b/>
          <w:bCs/>
        </w:rPr>
        <w:t xml:space="preserve">DOI conceptual del código (última versión):</w:t>
      </w:r>
      <w:r>
        <w:t xml:space="preserve"> </w:t>
      </w:r>
      <w:hyperlink r:id="rId62">
        <w:r>
          <w:rPr>
            <w:rStyle w:val="Hyperlink"/>
          </w:rPr>
          <w:t xml:space="preserve">10.5281/zenodo.23675104</w:t>
        </w:r>
      </w:hyperlink>
      <w:r>
        <w:br/>
      </w:r>
      <w:r>
        <w:rPr>
          <w:b/>
          <w:bCs/>
        </w:rPr>
        <w:t xml:space="preserve">DOI conceptual de los datos (última versión):</w:t>
      </w:r>
      <w:r>
        <w:t xml:space="preserve"> </w:t>
      </w:r>
      <w:hyperlink r:id="rId54">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3"/>
    <w:bookmarkStart w:id="116" w:name="referencias"/>
    <w:p>
      <w:pPr>
        <w:pStyle w:val="Heading1"/>
      </w:pPr>
      <w:r>
        <w:t xml:space="preserve">Referencias</w:t>
      </w:r>
    </w:p>
    <w:bookmarkStart w:id="115" w:name="refs"/>
    <w:bookmarkStart w:id="65"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4">
        <w:r>
          <w:rPr>
            <w:rStyle w:val="Hyperlink"/>
          </w:rPr>
          <w:t xml:space="preserve">https://doi.org/10.3390/rs10091438</w:t>
        </w:r>
      </w:hyperlink>
    </w:p>
    <w:bookmarkEnd w:id="65"/>
    <w:bookmarkStart w:id="67"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6">
        <w:r>
          <w:rPr>
            <w:rStyle w:val="Hyperlink"/>
          </w:rPr>
          <w:t xml:space="preserve">https://doi.org/10.3390/s20226442</w:t>
        </w:r>
      </w:hyperlink>
    </w:p>
    <w:bookmarkEnd w:id="67"/>
    <w:bookmarkStart w:id="69"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8">
        <w:r>
          <w:rPr>
            <w:rStyle w:val="Hyperlink"/>
          </w:rPr>
          <w:t xml:space="preserve">https://doi.org/10.1111/gcb.13521</w:t>
        </w:r>
      </w:hyperlink>
    </w:p>
    <w:bookmarkEnd w:id="69"/>
    <w:bookmarkStart w:id="71"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70">
        <w:r>
          <w:rPr>
            <w:rStyle w:val="Hyperlink"/>
          </w:rPr>
          <w:t xml:space="preserve">https://doi.org/10.1111/j.2007.0906-7590.05171.x</w:t>
        </w:r>
      </w:hyperlink>
    </w:p>
    <w:bookmarkEnd w:id="71"/>
    <w:bookmarkStart w:id="73"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72">
        <w:r>
          <w:rPr>
            <w:rStyle w:val="Hyperlink"/>
          </w:rPr>
          <w:t xml:space="preserve">https://doi.org/10.1071/WF08187</w:t>
        </w:r>
      </w:hyperlink>
    </w:p>
    <w:bookmarkEnd w:id="73"/>
    <w:bookmarkStart w:id="75"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4">
        <w:r>
          <w:rPr>
            <w:rStyle w:val="Hyperlink"/>
          </w:rPr>
          <w:t xml:space="preserve">https://doi.org/10.1007/s10584-015-1521-0</w:t>
        </w:r>
      </w:hyperlink>
    </w:p>
    <w:bookmarkEnd w:id="75"/>
    <w:bookmarkStart w:id="77"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6">
        <w:r>
          <w:rPr>
            <w:rStyle w:val="Hyperlink"/>
          </w:rPr>
          <w:t xml:space="preserve">https://doi.org/10.1126/science.1244693</w:t>
        </w:r>
      </w:hyperlink>
    </w:p>
    <w:bookmarkEnd w:id="77"/>
    <w:bookmarkStart w:id="79"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8">
        <w:r>
          <w:rPr>
            <w:rStyle w:val="Hyperlink"/>
          </w:rPr>
          <w:t xml:space="preserve">https://doi.org/10.1139/er-2020-0019</w:t>
        </w:r>
      </w:hyperlink>
    </w:p>
    <w:bookmarkEnd w:id="79"/>
    <w:bookmarkStart w:id="81"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80">
        <w:r>
          <w:rPr>
            <w:rStyle w:val="Hyperlink"/>
          </w:rPr>
          <w:t xml:space="preserve">https://doi.org/10.1038/ncomms8537</w:t>
        </w:r>
      </w:hyperlink>
    </w:p>
    <w:bookmarkEnd w:id="81"/>
    <w:bookmarkStart w:id="82"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82"/>
    <w:bookmarkStart w:id="84" w:name="ref-legendre1993"/>
    <w:p>
      <w:pPr>
        <w:pStyle w:val="Bibliography"/>
      </w:pPr>
      <w:r>
        <w:t xml:space="preserve">Legendre, P., 1993. Spatial autocorrelation: trouble or new paradigm? Ecology 74, 1659-1673.</w:t>
      </w:r>
      <w:r>
        <w:t xml:space="preserve"> </w:t>
      </w:r>
      <w:hyperlink r:id="rId83">
        <w:r>
          <w:rPr>
            <w:rStyle w:val="Hyperlink"/>
          </w:rPr>
          <w:t xml:space="preserve">https://doi.org/10.2307/1939924</w:t>
        </w:r>
      </w:hyperlink>
    </w:p>
    <w:bookmarkEnd w:id="84"/>
    <w:bookmarkStart w:id="86"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5">
        <w:r>
          <w:rPr>
            <w:rStyle w:val="Hyperlink"/>
          </w:rPr>
          <w:t xml:space="preserve">https://doi.org/10.1038/s42256-019-0138-9</w:t>
        </w:r>
      </w:hyperlink>
    </w:p>
    <w:bookmarkEnd w:id="86"/>
    <w:bookmarkStart w:id="88"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7">
        <w:r>
          <w:rPr>
            <w:rStyle w:val="Hyperlink"/>
          </w:rPr>
          <w:t xml:space="preserve">https://chaco.mapbiomas.org/</w:t>
        </w:r>
      </w:hyperlink>
      <w:r>
        <w:t xml:space="preserve"> </w:t>
      </w:r>
      <w:r>
        <w:t xml:space="preserve">(accedido 10.28.2026).</w:t>
      </w:r>
    </w:p>
    <w:bookmarkEnd w:id="88"/>
    <w:bookmarkStart w:id="90"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9">
        <w:r>
          <w:rPr>
            <w:rStyle w:val="Hyperlink"/>
          </w:rPr>
          <w:t xml:space="preserve">https://doi.org/10.5194/essd-13-4349-2021</w:t>
        </w:r>
      </w:hyperlink>
    </w:p>
    <w:bookmarkEnd w:id="90"/>
    <w:bookmarkStart w:id="92" w:name="ref-niculescu2005"/>
    <w:p>
      <w:pPr>
        <w:pStyle w:val="Bibliography"/>
      </w:pPr>
      <w:r>
        <w:t xml:space="preserve">Niculescu-Mizil, A., Caruana, R., 2005. Predicting good probabilities with supervised learning, en: Proceedings of the 22nd International Conference on Machine Learning (ICML). pp. 625-632.</w:t>
      </w:r>
      <w:r>
        <w:t xml:space="preserve"> </w:t>
      </w:r>
      <w:hyperlink r:id="rId91">
        <w:r>
          <w:rPr>
            <w:rStyle w:val="Hyperlink"/>
          </w:rPr>
          <w:t xml:space="preserve">https://doi.org/10.1145/1102351.1102430</w:t>
        </w:r>
      </w:hyperlink>
    </w:p>
    <w:bookmarkEnd w:id="92"/>
    <w:bookmarkStart w:id="94"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3">
        <w:r>
          <w:rPr>
            <w:rStyle w:val="Hyperlink"/>
          </w:rPr>
          <w:t xml:space="preserve">https://doi.org/10.1016/j.pecon.2021.06.005</w:t>
        </w:r>
      </w:hyperlink>
    </w:p>
    <w:bookmarkEnd w:id="94"/>
    <w:bookmarkStart w:id="95" w:name="ref-platt1999"/>
    <w:p>
      <w:pPr>
        <w:pStyle w:val="Bibliography"/>
      </w:pPr>
      <w:r>
        <w:t xml:space="preserve">Platt, J., 1999. Probabilistic outputs for support vector machines and comparisons to regularized likelihood methods, en: Advances in Large Margin Classifiers. MIT Press, pp. 61-74.</w:t>
      </w:r>
    </w:p>
    <w:bookmarkEnd w:id="95"/>
    <w:bookmarkStart w:id="97"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6">
        <w:r>
          <w:rPr>
            <w:rStyle w:val="Hyperlink"/>
          </w:rPr>
          <w:t xml:space="preserve">https://doi.org/10.1038/s41467-020-18321-y</w:t>
        </w:r>
      </w:hyperlink>
    </w:p>
    <w:bookmarkEnd w:id="97"/>
    <w:bookmarkStart w:id="99" w:name="ref-raasveldt2019duckdb"/>
    <w:p>
      <w:pPr>
        <w:pStyle w:val="Bibliography"/>
      </w:pPr>
      <w:r>
        <w:t xml:space="preserve">Raasveldt, M., Mühleisen, H., 2019. DuckDB: an Embeddable Analytical Database, en: Proceedings of the 2019 International Conference on Management of Data (SIGMOD). pp. 1981-1984.</w:t>
      </w:r>
      <w:r>
        <w:t xml:space="preserve"> </w:t>
      </w:r>
      <w:hyperlink r:id="rId98">
        <w:r>
          <w:rPr>
            <w:rStyle w:val="Hyperlink"/>
          </w:rPr>
          <w:t xml:space="preserve">https://doi.org/10.1145/3299869.3320212</w:t>
        </w:r>
      </w:hyperlink>
    </w:p>
    <w:bookmarkEnd w:id="99"/>
    <w:bookmarkStart w:id="101"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100">
        <w:r>
          <w:rPr>
            <w:rStyle w:val="Hyperlink"/>
          </w:rPr>
          <w:t xml:space="preserve">https://doi.org/10.1111/ecog.02881</w:t>
        </w:r>
      </w:hyperlink>
    </w:p>
    <w:bookmarkEnd w:id="101"/>
    <w:bookmarkStart w:id="103"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102">
        <w:r>
          <w:rPr>
            <w:rStyle w:val="Hyperlink"/>
          </w:rPr>
          <w:t xml:space="preserve">https://doi.org/10.5772/28441</w:t>
        </w:r>
      </w:hyperlink>
    </w:p>
    <w:bookmarkEnd w:id="103"/>
    <w:bookmarkStart w:id="105"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4">
        <w:r>
          <w:rPr>
            <w:rStyle w:val="Hyperlink"/>
          </w:rPr>
          <w:t xml:space="preserve">https://doi.org/10.1016/j.rse.2013.12.008</w:t>
        </w:r>
      </w:hyperlink>
    </w:p>
    <w:bookmarkEnd w:id="105"/>
    <w:bookmarkStart w:id="107"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6">
        <w:r>
          <w:rPr>
            <w:rStyle w:val="Hyperlink"/>
          </w:rPr>
          <w:t xml:space="preserve">http://queimadas.dgi.inpe.br</w:t>
        </w:r>
      </w:hyperlink>
      <w:r>
        <w:t xml:space="preserve"> </w:t>
      </w:r>
      <w:r>
        <w:t xml:space="preserve">(accedido 10.28.2026).</w:t>
      </w:r>
    </w:p>
    <w:bookmarkEnd w:id="107"/>
    <w:bookmarkStart w:id="109"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8">
        <w:r>
          <w:rPr>
            <w:rStyle w:val="Hyperlink"/>
          </w:rPr>
          <w:t xml:space="preserve">https://doi.org/10.5558/tfc65258-4</w:t>
        </w:r>
      </w:hyperlink>
    </w:p>
    <w:bookmarkEnd w:id="109"/>
    <w:bookmarkStart w:id="111"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10">
        <w:r>
          <w:rPr>
            <w:rStyle w:val="Hyperlink"/>
          </w:rPr>
          <w:t xml:space="preserve">https://doi.org/10.2307/143141</w:t>
        </w:r>
      </w:hyperlink>
    </w:p>
    <w:bookmarkEnd w:id="111"/>
    <w:bookmarkStart w:id="113"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12">
        <w:r>
          <w:rPr>
            <w:rStyle w:val="Hyperlink"/>
          </w:rPr>
          <w:t xml:space="preserve">https://doi.org/10.1016/j.jaridenv.2014.11.009</w:t>
        </w:r>
      </w:hyperlink>
    </w:p>
    <w:bookmarkEnd w:id="113"/>
    <w:bookmarkStart w:id="114"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image" Id="rId9" Target="media/rId9.png" /><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2026-10-29T14:34:22Z</dcterms:created>
  <dcterms:modified xsi:type="dcterms:W3CDTF">2026-10-29T14:34:22Z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