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 D2 targets, M3/M2 inference, and an open benchmark against Canadian FWI and INPE</w:t>
      </w:r>
    </w:p>
    <w:p>
      <w:pPr>
        <w:pStyle w:val="FirstParagraph"/>
      </w:pPr>
      <w:r>
        <w:rPr>
          <w:b/>
          <w:bCs/>
        </w:rPr>
        <w:t>Martín Sánchez Insfrán</w:t>
      </w:r>
    </w:p>
    <w:p>
      <w:pPr>
        <w:pStyle w:val="BodyText"/>
      </w:pPr>
      <w:r>
        <w:t>Independent Researcher, Asunción, Paraguay. ORCID: 0000-0003-4138-9668</w:t>
      </w:r>
    </w:p>
    <w:p>
      <w:pPr>
        <w:pStyle w:val="BodyText"/>
      </w:pPr>
      <w:r>
        <w:t>Corresponding author. E-mail: sanchez.martin093@gmail.com · Telephone: +595 971 907 727</w:t>
      </w:r>
    </w:p>
    <w:p>
      <w:pPr>
        <w:pStyle w:val="BodyText"/>
      </w:pPr>
      <w:r>
        <w:rPr>
          <w:b/>
          <w:bCs/>
        </w:rPr>
        <w:t>ARTICLE INFO</w:t>
      </w:r>
    </w:p>
    <w:p>
      <w:pPr>
        <w:pStyle w:val="BodyText"/>
      </w:pPr>
      <w:r>
        <w:rPr>
          <w:b/>
          <w:bCs/>
        </w:rPr>
        <w:t>Keywords:</w:t>
      </w:r>
      <w:r>
        <w:t xml:space="preserve"> </w:t>
      </w:r>
      <w:r>
        <w:t>Wildfire nowcasting · GeoAI · Reproducibility · Spatial cross-validation · LightGBM · Gran Chaco</w:t>
      </w:r>
    </w:p>
    <w:p>
      <w:pPr>
        <w:pStyle w:val="BodyText"/>
      </w:pPr>
      <w:r>
        <w:rPr>
          <w:b/>
          <w:bCs/>
        </w:rPr>
        <w:t>ABSTRACT</w:t>
      </w:r>
    </w:p>
    <w:p>
      <w:pPr>
        <w:pStyle w:val="BodyText"/>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tbl>
      <w:tblPr>
        <w:tblStyle w:val="Table"/>
        <w:tblW w:type="pct" w:w="5000"/>
        <w:tblLayout w:type="fixed"/>
        <w:tblLook w:firstRow="0" w:lastRow="0" w:firstColumn="0" w:lastColumn="0" w:noHBand="0" w:noVBand="0" w:val="0000"/>
      </w:tblPr>
      <w:tblGrid>
        <w:gridCol w:w="7920"/>
      </w:tblGrid>
      <w:tr>
        <w:tc>
          <w:tcPr/>
          <w:bookmarkStart w:id="12" w:name="fig-graphical"/>
          <w:p>
            <w:pPr>
              <w:pStyle w:val="Compact"/>
              <w:jc w:val="center"/>
            </w:pPr>
            <w:r>
              <w:drawing>
                <wp:inline>
                  <wp:extent cx="4054501" cy="1621189"/>
                  <wp:effectExtent b="0" l="0" r="0" t="0"/>
                  <wp:docPr descr="" title="" id="10" name="Picture"/>
                  <a:graphic>
                    <a:graphicData uri="http://schemas.openxmlformats.org/drawingml/2006/picture">
                      <pic:pic>
                        <pic:nvPicPr>
                          <pic:cNvPr descr="../../entregables/figuras/graphical_abstract.png" id="11" name="Picture"/>
                          <pic:cNvPicPr>
                            <a:picLocks noChangeArrowheads="1" noChangeAspect="1"/>
                          </pic:cNvPicPr>
                        </pic:nvPicPr>
                        <pic:blipFill>
                          <a:blip r:embed="rId9"/>
                          <a:stretch>
                            <a:fillRect/>
                          </a:stretch>
                        </pic:blipFill>
                        <pic:spPr bwMode="auto">
                          <a:xfrm>
                            <a:off x="0" y="0"/>
                            <a:ext cx="4054501" cy="1621189"/>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Graphical abstract. Temporal skill is not spatial skill: M3 provides a temporal ignition nowcast, M2 remains the fallback in unseen blocks, and decision value is concentrated in propagation. Figure 2 details the computational framework.</w:t>
            </w:r>
          </w:p>
          <w:bookmarkEnd w:id="12"/>
        </w:tc>
      </w:tr>
    </w:tbl>
    <w:bookmarkStart w:id="13"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3"/>
    <w:bookmarkStart w:id="22" w:name="computational-framework"/>
    <w:p>
      <w:pPr>
        <w:pStyle w:val="Heading1"/>
      </w:pPr>
      <w:r>
        <w:t>2. Computational framework</w:t>
      </w:r>
    </w:p>
    <w:bookmarkStart w:id="14"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Same-cell detections recurring within 2–10 days without an active neighbor within 25 km on day</w:t>
      </w:r>
      <w:r>
        <w:t xml:space="preserve"> </w:t>
      </w:r>
      <w:r>
        <w:rPr>
          <w:i/>
          <w:iCs/>
        </w:rPr>
        <w:t>t</w:t>
      </w:r>
      <w:r>
        <w:t>−1—typically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4"/>
    <w:bookmarkStart w:id="19"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2</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8" w:name="fig-framework"/>
          <w:p>
            <w:pPr>
              <w:pStyle w:val="Compact"/>
              <w:jc w:val="center"/>
            </w:pPr>
            <w:r>
              <w:drawing>
                <wp:inline>
                  <wp:extent cx="5334000" cy="3934472"/>
                  <wp:effectExtent b="0" l="0" r="0" t="0"/>
                  <wp:docPr descr="" title="" id="16" name="Picture"/>
                  <a:graphic>
                    <a:graphicData uri="http://schemas.openxmlformats.org/drawingml/2006/picture">
                      <pic:pic>
                        <pic:nvPicPr>
                          <pic:cNvPr descr="../../entregables/figuras/fig01_framework_conceptual.png" id="17" name="Picture"/>
                          <pic:cNvPicPr>
                            <a:picLocks noChangeArrowheads="1" noChangeAspect="1"/>
                          </pic:cNvPicPr>
                        </pic:nvPicPr>
                        <pic:blipFill>
                          <a:blip r:embed="rId15"/>
                          <a:stretch>
                            <a:fillRect/>
                          </a:stretch>
                        </pic:blipFill>
                        <pic:spPr bwMode="auto">
                          <a:xfrm>
                            <a:off x="0" y="0"/>
                            <a:ext cx="5334000" cy="393447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Computational framework. (a) Daily 1-km² inputs (VIIRS 375 m, ERA5-Land 3-hourly, MapBiomas C2, Hansen GFC and causal historical priors) pass through a biophysical gate (</w:t>
            </w:r>
            <w:r>
              <w:rPr>
                <w:rStyle w:val="VerbatimChar"/>
                <w:rFonts w:ascii="Times New Roman" w:hAnsi="Times New Roman" w:cs="Times New Roman" w:eastAsia="Times New Roman"/>
                <w:i w:val="0"/>
                <w:color w:val="000000"/>
                <w:sz w:val="20"/>
              </w:rPr>
              <w:t>R48h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&lt; 10 mm is 48-h rainfall; fuel = 1, VPD ≥ 0.8 kPa); the gate removes 21.7 % of cell-days but retains 97.17 % of thermal detections and is not a label filter. (b) D2 uses</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N25(i,t−1)</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for the set of cells within 25 km with fire at t−1 and</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H10(i,t)</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for any same-cell detection in the previous 10 d; the domains are disjoint. Same-cell 2–10 d recurrences without a t−1 neighbour remain candidate negatives. (c) The 1:10 case-control sample is used for ignition and population denominators are retained. M3 is used where</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freq_hist_1km &gt; 0</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and M2 where it is 0; propagation uses a causal t−1 kernel. Probabilities are calibrated with a per-task monotonic Platt transform fitted on 2023 and frozen; the F0.5 cutoff is applied after prior correction. M1 (24 variables) is a diagnostic baseline and is not shown. (d) Evaluation uses a frozen temporal split (2018–2022/2023/2024–2025), 50-km blocks with a 20-km buffer, date-grouped bootstrap (500 AUC CI; 1 000 paired), cost-loss and open code/data. The 25-km radius is the D2 target; the 20-km buffer applies only to the spatial holdout. Endpoints are ROC-AUC, PR-AUC, Brier, ECE, conformal coverage, population precision/recall and lift; code/data, DOI and hashes are archived.</w:t>
            </w:r>
          </w:p>
          <w:bookmarkEnd w:id="18"/>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and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9"/>
    <w:bookmarkStart w:id="20"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20"/>
    <w:bookmarkStart w:id="21"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and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 Supplementary Figure S11;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bookmarkEnd w:id="21"/>
    <w:bookmarkEnd w:id="22"/>
    <w:bookmarkStart w:id="45" w:name="results"/>
    <w:p>
      <w:pPr>
        <w:pStyle w:val="Heading1"/>
      </w:pPr>
      <w:r>
        <w:t>3. Results</w:t>
      </w:r>
    </w:p>
    <w:bookmarkStart w:id="29"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9360"/>
      </w:tblGrid>
      <w:tr>
        <w:tc>
          <w:tcPr>
            <w:tcW w:w="9360" w:type="dxa"/>
          </w:tcPr>
          <w:bookmarkStart w:id="23"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0.2875</w:t>
                  </w:r>
                </w:p>
              </w:tc>
            </w:tr>
          </w:tbl>
          <w:bookmarkEnd w:id="23"/>
          <w:p/>
        </w:tc>
      </w:tr>
    </w:tbl>
    <w:p>
      <w:pPr>
        <w:pStyle w:val="BodyText"/>
      </w:pPr>
      <w:r>
        <w:t>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9360"/>
      </w:tblGrid>
      <w:tr>
        <w:tc>
          <w:tcPr>
            <w:tcW w:w="9360" w:type="dxa"/>
          </w:tcPr>
          <w:bookmarkStart w:id="24"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8 351</w:t>
                  </w:r>
                </w:p>
              </w:tc>
            </w:tr>
          </w:tbl>
          <w:bookmarkEnd w:id="24"/>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9360"/>
      </w:tblGrid>
      <w:tr>
        <w:tc>
          <w:tcPr>
            <w:tcW w:w="9360" w:type="dxa"/>
          </w:tcPr>
          <w:bookmarkStart w:id="30"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CellMar>
                <w:top w:w="0" w:type="dxa"/>
                <w:left w:w="36" w:type="dxa"/>
                <w:bottom w:w="0" w:type="dxa"/>
                <w:right w:w="36" w:type="dxa"/>
              </w:tblCellMar>
              <w:tblLook w:firstRow="1" w:lastRow="0" w:firstColumn="0" w:lastColumn="0" w:noHBand="0" w:noVBand="0" w:val="0020"/>
            </w:tblPr>
            <w:tblGrid>
              <w:gridCol w:w="700"/>
              <w:gridCol w:w="1950"/>
              <w:gridCol w:w="950"/>
              <w:gridCol w:w="800"/>
              <w:gridCol w:w="1050"/>
              <w:gridCol w:w="800"/>
              <w:gridCol w:w="900"/>
              <w:gridCol w:w="750"/>
              <w:gridCol w:w="750"/>
              <w:gridCol w:w="710"/>
            </w:tblGrid>
            <w:tr>
              <w:trPr>
                <w:cantSplit/>
                <w:tblHeader w:val="on"/>
              </w:trPr>
              <w:tc>
                <w:tcPr>
                  <w:tcW w:w="700" w:type="dxa"/>
                </w:tcPr>
                <w:p>
                  <w:pPr>
                    <w:pStyle w:val="Compact"/>
                    <w:keepNext/>
                    <w:spacing w:line="240" w:lineRule="auto" w:before="0" w:after="0"/>
                    <w:jc w:val="left"/>
                    <w:jc w:val="center"/>
                  </w:pPr>
                  <w:r>
                    <w:rPr>
                      <w:rFonts w:ascii="Times New Roman" w:hAnsi="Times New Roman" w:cs="Times New Roman" w:eastAsia="Times New Roman"/>
                      <w:b/>
                      <w:color w:val="000000"/>
                      <w:sz w:val="16"/>
                    </w:rPr>
                    <w:t>Region</w:t>
                  </w:r>
                </w:p>
              </w:tc>
              <w:tc>
                <w:tcPr>
                  <w:tcW w:w="1950" w:type="dxa"/>
                </w:tcPr>
                <w:p>
                  <w:pPr>
                    <w:pStyle w:val="Compact"/>
                    <w:keepNext/>
                    <w:spacing w:line="240" w:lineRule="auto" w:before="0" w:after="0"/>
                    <w:jc w:val="left"/>
                    <w:jc w:val="center"/>
                  </w:pPr>
                  <w:r>
                    <w:rPr>
                      <w:rFonts w:ascii="Times New Roman" w:hAnsi="Times New Roman" w:cs="Times New Roman" w:eastAsia="Times New Roman"/>
                      <w:b/>
                      <w:color w:val="000000"/>
                      <w:sz w:val="16"/>
                    </w:rPr>
                    <w:t>Model</w:t>
                  </w:r>
                </w:p>
              </w:tc>
              <w:tc>
                <w:tcPr>
                  <w:tcW w:w="9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ROC-AUC</w:t>
                  </w:r>
                </w:p>
              </w:tc>
              <w:tc>
                <w:tcPr>
                  <w:tcW w:w="8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PR-AUC</w:t>
                  </w:r>
                </w:p>
              </w:tc>
              <w:tc>
                <w:tcPr>
                  <w:tcW w:w="10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ΔROC</w:t>
                  </w:r>
                </w:p>
              </w:tc>
              <w:tc>
                <w:tcPr>
                  <w:tcW w:w="8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 (raw)</w:t>
                  </w:r>
                </w:p>
              </w:tc>
              <w:tc>
                <w:tcPr>
                  <w:tcW w:w="9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Cutoff</w:t>
                  </w:r>
                </w:p>
              </w:tc>
              <w:tc>
                <w:tcPr>
                  <w:tcW w:w="7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Prec. (%)</w:t>
                  </w:r>
                </w:p>
              </w:tc>
              <w:tc>
                <w:tcPr>
                  <w:tcW w:w="7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Rec. (%)</w:t>
                  </w:r>
                </w:p>
              </w:tc>
              <w:tc>
                <w:tcPr>
                  <w:tcW w:w="71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F0.5</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M3 ignition</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0.8021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0.2842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0.2218</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32.82</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30.30</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0.3228</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Full Canadian FWI</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0.5059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0.0897</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+0.2963</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3.1285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95.73</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0.1130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INPE Risco de Fogo</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0.5266</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0.0964</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+0.2756</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0.0364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92.47</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0.1126</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Weather-only GBT</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0.5512</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0.1071</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+0.2509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0.1020</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11.43</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19.32</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0.1245</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M3 ignition</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0.7534</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0.2340</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0.2186</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30.13</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18.59</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0.2680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Full Canadian FWI</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0.5611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+0.1922</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20.4720</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12.22</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21.85</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0.1340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INPE Risco de Fogo</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0.4973</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0.0902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+0.2561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0.0596</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82.56</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0.1123</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Weather-only GBT</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0.5645</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0.1077</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+0.1889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0.0975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11.08</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42.44</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0.1300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Climatological baseline</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0.5000</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0.0909</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+0.3021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r>
            <w:tr>
              <w:trPr>
                <w:cantSplit/>
              </w:trPr>
              <w:tc>
                <w:tcPr>
                  <w:tcW w:w="700" w:type="dxa"/>
                </w:tcPr>
                <w:p>
                  <w:pPr>
                    <w:pStyle w:val="Compact"/>
                    <w:keepNext w:val="0"/>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val="0"/>
                    <w:spacing w:line="240" w:lineRule="auto" w:before="0" w:after="0"/>
                    <w:jc w:val="left"/>
                    <w:jc w:val="center"/>
                  </w:pPr>
                  <w:r>
                    <w:rPr>
                      <w:rFonts w:ascii="Times New Roman" w:hAnsi="Times New Roman" w:cs="Times New Roman" w:eastAsia="Times New Roman"/>
                      <w:color w:val="000000"/>
                      <w:sz w:val="16"/>
                    </w:rPr>
                    <w:t>Climatological baseline</w:t>
                  </w:r>
                </w:p>
              </w:tc>
              <w:tc>
                <w:tcPr>
                  <w:tcW w:w="9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0.5000</w:t>
                  </w:r>
                </w:p>
              </w:tc>
              <w:tc>
                <w:tcPr>
                  <w:tcW w:w="8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0.0909</w:t>
                  </w:r>
                </w:p>
              </w:tc>
              <w:tc>
                <w:tcPr>
                  <w:tcW w:w="10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+0.2534</w:t>
                  </w:r>
                </w:p>
              </w:tc>
              <w:tc>
                <w:tcPr>
                  <w:tcW w:w="8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1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r>
          </w:tbl>
          <w:bookmarkEnd w:id="30"/>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4"/>
        </w:tc>
      </w:tr>
    </w:tbl>
    <w:bookmarkEnd w:id="35"/>
    <w:bookmarkStart w:id="37"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9360"/>
      </w:tblGrid>
      <w:tr>
        <w:tc>
          <w:tcPr>
            <w:tcW w:w="9360" w:type="dxa"/>
          </w:tcPr>
          <w:bookmarkStart w:id="36"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0.1608</w:t>
                  </w:r>
                </w:p>
              </w:tc>
            </w:tr>
          </w:tbl>
          <w:bookmarkEnd w:id="36"/>
          <w:p/>
        </w:tc>
      </w:tr>
    </w:tbl>
    <w:p>
      <w:pPr>
        <w:pStyle w:val="BodyText"/>
      </w:pPr>
      <w:r>
        <w:t>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Temporal stability and D2 parameter sensitivity.</w:t>
      </w:r>
      <w:r>
        <w:t xml:space="preserve"> </w:t>
      </w: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Distribution shift and negative controls.</w:t>
      </w:r>
      <w:r>
        <w:t xml:space="preserve"> </w:t>
      </w:r>
      <w:r>
        <w:t>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Sampling, gating and label-quality robustness.</w:t>
      </w:r>
      <w:r>
        <w:t xml:space="preserve"> </w:t>
      </w:r>
      <w:r>
        <w:t>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External spatial validation.</w:t>
      </w:r>
      <w:r>
        <w:t xml:space="preserve"> </w:t>
      </w:r>
      <w:r>
        <w:t>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p>
      <w:pPr>
        <w:pStyle w:val="BodyText"/>
      </w:pPr>
      <w:r>
        <w:t>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1"/>
        </w:tc>
      </w:tr>
    </w:tbl>
    <w:bookmarkEnd w:id="42"/>
    <w:bookmarkStart w:id="43"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Data availability</w:t>
      </w:r>
    </w:p>
    <w:p>
      <w:pPr>
        <w:pStyle w:val="FirstParagraph"/>
      </w:pPr>
      <w:r>
        <w:t>Processed data, test predictions, trained models and derived tables are archived in the v2.0.1 data release (</w:t>
      </w:r>
      <w:r>
        <w:rPr>
          <w:rStyle w:val="VerbatimChar"/>
        </w:rPr>
        <w:t>Incendios_PY_data_v2.0.1.zip</w:t>
      </w:r>
      <w:r>
        <w:t>, 1.18 GB) at</w:t>
      </w:r>
      <w:r>
        <w:t xml:space="preserve"> </w:t>
      </w:r>
      <w:hyperlink r:id="rId52">
        <w:r>
          <w:rPr>
            <w:rStyle w:val="Hyperlink"/>
          </w:rPr>
          <w:t xml:space="preserve">github.com/sanchezmartin093-code/Incendios_PY/releases/tag/v2.0.1</w:t>
        </w:r>
      </w:hyperlink>
      <w:r>
        <w:t xml:space="preserve"> </w:t>
      </w:r>
      <w:r>
        <w:t>under CC BY 4.0 and are indexed by the data concept DOI</w:t>
      </w:r>
      <w:r>
        <w:t xml:space="preserve"> </w:t>
      </w:r>
      <w:hyperlink r:id="rId53">
        <w:r>
          <w:rPr>
            <w:rStyle w:val="Hyperlink"/>
          </w:rPr>
          <w:t xml:space="preserve">10.5281/zenodo.23675278</w:t>
        </w:r>
      </w:hyperlink>
      <w:r>
        <w:t>. The v2.1.0 code and tabular artifacts are in the v2.1.0 GitHub release and in</w:t>
      </w:r>
      <w:r>
        <w:t xml:space="preserve"> </w:t>
      </w:r>
      <w:r>
        <w:rPr>
          <w:rStyle w:val="VerbatimChar"/>
        </w:rPr>
        <w:t>tablas_maestro.xlsx</w:t>
      </w:r>
      <w:r>
        <w:t>. Raw NASA FIRMS, ERA5-Land/CDS, MapBiomas, Hansen GFC and geoBoundaries data are obtained from their original providers under their own terms and are documented with SHA-256 hashes in</w:t>
      </w:r>
      <w:r>
        <w:t xml:space="preserve"> </w:t>
      </w:r>
      <w:r>
        <w:rPr>
          <w:rStyle w:val="VerbatimChar"/>
        </w:rPr>
        <w:t>fuentes/MANIFIESTO_DATOS_v3.csv</w:t>
      </w:r>
      <w:r>
        <w:t>.</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8" w:name="computer-code-availability"/>
    <w:p>
      <w:pPr>
        <w:pStyle w:val="Heading1"/>
      </w:pPr>
      <w:r>
        <w:t>Computer Code Availability</w:t>
      </w:r>
    </w:p>
    <w:p>
      <w:pPr>
        <w:pStyle w:val="Compact"/>
        <w:numPr>
          <w:ilvl w:val="0"/>
          <w:numId w:val="1005"/>
        </w:numPr>
      </w:pPr>
      <w:r>
        <w:rPr>
          <w:b/>
          <w:bCs/>
        </w:rPr>
        <w:t>Name of code:</w:t>
      </w:r>
      <w:r>
        <w:t xml:space="preserve"> </w:t>
      </w:r>
      <w:r>
        <w:rPr>
          <w:rStyle w:val="VerbatimChar"/>
        </w:rPr>
        <w:t>Incendios_PY</w:t>
      </w:r>
      <w:r>
        <w:t xml:space="preserve"> </w:t>
      </w:r>
      <w:r>
        <w:t>(v2.1.0)</w:t>
      </w:r>
    </w:p>
    <w:p>
      <w:pPr>
        <w:pStyle w:val="Compact"/>
        <w:numPr>
          <w:ilvl w:val="0"/>
          <w:numId w:val="1005"/>
        </w:numPr>
      </w:pPr>
      <w:r>
        <w:rPr>
          <w:b/>
          <w:bCs/>
        </w:rPr>
        <w:t>Developer and contact address:</w:t>
      </w:r>
      <w:r>
        <w:t xml:space="preserve"> </w:t>
      </w:r>
      <w:r>
        <w:t>Martín Sánchez Insfrán, Independent Researcher, Asunción, Paraguay.</w:t>
      </w:r>
    </w:p>
    <w:p>
      <w:pPr>
        <w:pStyle w:val="Compact"/>
        <w:numPr>
          <w:ilvl w:val="0"/>
          <w:numId w:val="1005"/>
        </w:numPr>
      </w:pPr>
      <w:r>
        <w:rPr>
          <w:b/>
          <w:bCs/>
        </w:rPr>
        <w:t>Telephone:</w:t>
      </w:r>
      <w:r>
        <w:t xml:space="preserve"> </w:t>
      </w:r>
      <w:r>
        <w:t>+595 971 907 727</w:t>
      </w:r>
    </w:p>
    <w:p>
      <w:pPr>
        <w:pStyle w:val="Compact"/>
        <w:numPr>
          <w:ilvl w:val="0"/>
          <w:numId w:val="1005"/>
        </w:numPr>
      </w:pPr>
      <w:r>
        <w:rPr>
          <w:b/>
          <w:bCs/>
        </w:rPr>
        <w:t>E-mail:</w:t>
      </w:r>
      <w:r>
        <w:t xml:space="preserve"> </w:t>
      </w:r>
      <w:r>
        <w:t>sanchez.martin093@gmail.com</w:t>
      </w:r>
    </w:p>
    <w:p>
      <w:pPr>
        <w:pStyle w:val="Compact"/>
        <w:numPr>
          <w:ilvl w:val="0"/>
          <w:numId w:val="1005"/>
        </w:numPr>
      </w:pPr>
      <w:r>
        <w:rPr>
          <w:b/>
          <w:bCs/>
        </w:rPr>
        <w:t>Year first available:</w:t>
      </w:r>
      <w:r>
        <w:t xml:space="preserve"> </w:t>
      </w:r>
      <w:r>
        <w:t>2026</w:t>
      </w:r>
    </w:p>
    <w:p>
      <w:pPr>
        <w:pStyle w:val="Compact"/>
        <w:numPr>
          <w:ilvl w:val="0"/>
          <w:numId w:val="1005"/>
        </w:numPr>
      </w:pPr>
      <w:r>
        <w:rPr>
          <w:b/>
          <w:bCs/>
        </w:rPr>
        <w:t>Hardware required:</w:t>
      </w:r>
      <w:r>
        <w:t xml:space="preserve"> </w:t>
      </w:r>
      <w:r>
        <w:t>x86_64 or ARM64 CPU; minimum 8 GB RAM.</w:t>
      </w:r>
    </w:p>
    <w:p>
      <w:pPr>
        <w:pStyle w:val="Compact"/>
        <w:numPr>
          <w:ilvl w:val="0"/>
          <w:numId w:val="1005"/>
        </w:numPr>
      </w:pPr>
      <w:r>
        <w:rPr>
          <w:b/>
          <w:bCs/>
        </w:rPr>
        <w:t>Software required:</w:t>
      </w:r>
      <w:r>
        <w:t xml:space="preserve"> </w:t>
      </w:r>
      <w:r>
        <w:t>macOS 13+, Linux Ubuntu 22.04+, or Windows 11 with WSL2; Python 3.12+ with Polars, DuckDB, NumPy and the LightGBM C++ backend; pinned in</w:t>
      </w:r>
      <w:r>
        <w:t xml:space="preserve"> </w:t>
      </w:r>
      <w:r>
        <w:rPr>
          <w:rStyle w:val="VerbatimChar"/>
        </w:rPr>
        <w:t>requirements-lock.txt</w:t>
      </w:r>
      <w:r>
        <w:t>.</w:t>
      </w:r>
    </w:p>
    <w:p>
      <w:pPr>
        <w:pStyle w:val="Compact"/>
        <w:numPr>
          <w:ilvl w:val="0"/>
          <w:numId w:val="1005"/>
        </w:numPr>
      </w:pPr>
      <w:r>
        <w:rPr>
          <w:b/>
          <w:bCs/>
        </w:rPr>
        <w:t>Program language:</w:t>
      </w:r>
      <w:r>
        <w:t xml:space="preserve"> </w:t>
      </w:r>
      <w:r>
        <w:t>Python 3.12+.</w:t>
      </w:r>
    </w:p>
    <w:p>
      <w:pPr>
        <w:pStyle w:val="Compact"/>
        <w:numPr>
          <w:ilvl w:val="0"/>
          <w:numId w:val="1005"/>
        </w:numPr>
      </w:pPr>
      <w:r>
        <w:rPr>
          <w:b/>
          <w:bCs/>
        </w:rPr>
        <w:t>Program size:</w:t>
      </w:r>
      <w:r>
        <w:t xml:space="preserve"> </w:t>
      </w:r>
      <w:r>
        <w:t>1.7 MB source tree (approximately 0.9 MB Python source); the public data asset is 1.18 GB compressed; the full working archive is 11 GB.</w:t>
      </w:r>
    </w:p>
    <w:p>
      <w:pPr>
        <w:pStyle w:val="Compact"/>
        <w:numPr>
          <w:ilvl w:val="0"/>
          <w:numId w:val="1005"/>
        </w:numPr>
      </w:pPr>
      <w:r>
        <w:rPr>
          <w:b/>
          <w:bCs/>
        </w:rPr>
        <w:t>Availability and license:</w:t>
      </w:r>
      <w:r>
        <w:t xml:space="preserve"> </w:t>
      </w:r>
      <w:r>
        <w:t>Freely available under the MIT License at</w:t>
      </w:r>
      <w:r>
        <w:t xml:space="preserve"> </w:t>
      </w:r>
      <w:hyperlink r:id="rId56">
        <w:r>
          <w:rPr>
            <w:rStyle w:val="Hyperlink"/>
          </w:rPr>
          <w:t xml:space="preserve">github.com/sanchezmartin093-code/Incendios_PY</w:t>
        </w:r>
      </w:hyperlink>
      <w:r>
        <w:t>. Code concept DOI:</w:t>
      </w:r>
      <w:r>
        <w:t xml:space="preserve"> </w:t>
      </w:r>
      <w:hyperlink r:id="rId57">
        <w:r>
          <w:rPr>
            <w:rStyle w:val="Hyperlink"/>
          </w:rPr>
          <w:t xml:space="preserve">10.5281/zenodo.23675104</w:t>
        </w:r>
      </w:hyperlink>
      <w:r>
        <w:t>; data concept DOI:</w:t>
      </w:r>
      <w:r>
        <w:t xml:space="preserve"> </w:t>
      </w:r>
      <w:hyperlink r:id="rId53">
        <w:r>
          <w:rPr>
            <w:rStyle w:val="Hyperlink"/>
          </w:rPr>
          <w:t xml:space="preserve">10.5281/zenodo.23675278</w:t>
        </w:r>
      </w:hyperlink>
      <w:r>
        <w:t>. The v2.1.0 source snapshot is the GitHub release; the concept DOIs identify the archived code and data series.</w:t>
      </w:r>
    </w:p>
    <w:p>
      <w:pPr>
        <w:pStyle w:val="Compact"/>
        <w:numPr>
          <w:ilvl w:val="0"/>
          <w:numId w:val="1005"/>
        </w:numPr>
      </w:pPr>
      <w:r>
        <w:rPr>
          <w:b/>
          <w:bCs/>
        </w:rPr>
        <w:t>User guide:</w:t>
      </w:r>
      <w:r>
        <w:t xml:space="preserve"> </w:t>
      </w:r>
      <w:r>
        <w:rPr>
          <w:rStyle w:val="VerbatimChar"/>
        </w:rPr>
        <w:t>docs/USER_GUIDE.md</w:t>
      </w:r>
      <w:r>
        <w:t>;</w:t>
      </w:r>
      <w:r>
        <w:t xml:space="preserve"> </w:t>
      </w:r>
      <w:r>
        <w:rPr>
          <w:b/>
          <w:bCs/>
        </w:rPr>
        <w:t>tutorial:</w:t>
      </w:r>
      <w:r>
        <w:t xml:space="preserve"> </w:t>
      </w:r>
      <w:r>
        <w:rPr>
          <w:rStyle w:val="VerbatimChar"/>
        </w:rPr>
        <w:t>docs/TUTORIAL.md</w:t>
      </w:r>
      <w:r>
        <w:t>.</w:t>
      </w:r>
    </w:p>
    <w:p>
      <w:pPr>
        <w:pStyle w:val="Compact"/>
        <w:numPr>
          <w:ilvl w:val="0"/>
          <w:numId w:val="1005"/>
        </w:numPr>
      </w:pPr>
      <w:r>
        <w:rPr>
          <w:b/>
          <w:bCs/>
        </w:rPr>
        <w:t>Tests:</w:t>
      </w:r>
      <w:r>
        <w:t xml:space="preserve"> </w:t>
      </w:r>
      <w:r>
        <w:t>76 tests pass with</w:t>
      </w:r>
      <w:r>
        <w:t xml:space="preserve"> </w:t>
      </w:r>
      <w:r>
        <w:rPr>
          <w:rStyle w:val="VerbatimChar"/>
        </w:rPr>
        <w:t>python -m pytest -q tests</w:t>
      </w:r>
      <w:r>
        <w:t>.</w:t>
      </w:r>
    </w:p>
    <w:p>
      <w:pPr>
        <w:pStyle w:val="FirstParagraph"/>
      </w:pPr>
      <w:r>
        <w:rPr>
          <w:b/>
          <w:bCs/>
        </w:rPr>
        <w:t>Authorship contribution statement</w:t>
      </w:r>
    </w:p>
    <w:p>
      <w:pPr>
        <w:pStyle w:val="BodyText"/>
      </w:pPr>
      <w:r>
        <w:t>Martín Sánchez Insfrán: conceptualization, methodology, software, data curation, formal analysis, validation, visualization, writing—original draft, writing—review and editing, project administration.</w:t>
      </w:r>
    </w:p>
    <w:bookmarkEnd w:id="58"/>
    <w:bookmarkStart w:id="59" w:name="funding"/>
    <w:p>
      <w:pPr>
        <w:pStyle w:val="Heading1"/>
      </w:pPr>
      <w:r>
        <w:t>Funding</w:t>
      </w:r>
    </w:p>
    <w:p>
      <w:pPr>
        <w:pStyle w:val="FirstParagraph"/>
      </w:pPr>
      <w:r>
        <w:t>This research received no specific grant from public, commercial or not-for-profit funding agencies.</w:t>
      </w:r>
    </w:p>
    <w:bookmarkEnd w:id="59"/>
    <w:bookmarkStart w:id="60" w:name="competing-interests"/>
    <w:p>
      <w:pPr>
        <w:pStyle w:val="Heading1"/>
      </w:pPr>
      <w:r>
        <w:t>Competing interests</w:t>
      </w:r>
    </w:p>
    <w:p>
      <w:pPr>
        <w:pStyle w:val="FirstParagraph"/>
      </w:pPr>
      <w:r>
        <w:t>The author declares no competing financial or non-financial interests.</w:t>
      </w:r>
    </w:p>
    <w:bookmarkEnd w:id="60"/>
    <w:bookmarkStart w:id="61" w:name="generative-ai-declaration"/>
    <w:p>
      <w:pPr>
        <w:pStyle w:val="Heading1"/>
      </w:pPr>
      <w:r>
        <w:t>Generative AI declaration</w:t>
      </w:r>
    </w:p>
    <w:p>
      <w:pPr>
        <w:pStyle w:val="FirstParagraph"/>
      </w:pPr>
      <w:r>
        <w:t>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1"/>
    <w:bookmarkStart w:id="114" w:name="references"/>
    <w:p>
      <w:pPr>
        <w:pStyle w:val="Heading1"/>
      </w:pPr>
      <w:r>
        <w:t>References</w:t>
      </w:r>
    </w:p>
    <w:bookmarkStart w:id="113" w:name="refs"/>
    <w:bookmarkStart w:id="63" w:name="ref-alvarado2018"/>
    <w:p>
      <w:pPr>
        <w:pStyle w:val="Bibliography"/>
      </w:pPr>
      <w:r>
        <w:t>Alvarado, S.T., Silva, C.A., Archibald, S., 2018. Drivers of fire occurrence in a savanna-forest mosaic in the southern</w:t>
      </w:r>
      <w:r>
        <w:t xml:space="preserve"> </w:t>
      </w:r>
      <w:r>
        <w:t>Amazon</w:t>
      </w:r>
      <w:r>
        <w:t>. Remote Sensing 10, 1438.</w:t>
      </w:r>
      <w:r>
        <w:t xml:space="preserve"> </w:t>
      </w:r>
      <w:hyperlink r:id="rId62">
        <w:r>
          <w:rPr>
            <w:rStyle w:val="Hyperlink"/>
          </w:rPr>
          <w:t xml:space="preserve">https://doi.org/10.3390/rs10091438</w:t>
        </w:r>
      </w:hyperlink>
    </w:p>
    <w:bookmarkEnd w:id="63"/>
    <w:bookmarkStart w:id="65" w:name="ref-barmpoutis2020"/>
    <w:p>
      <w:pPr>
        <w:pStyle w:val="Bibliography"/>
      </w:pPr>
      <w:r>
        <w:t>Barmpoutis, P., Papaioannou, P., Dimitropoulos, K., Grammalidis, N., 2020. A review on early forest fire detection systems using optical remote sensing. Sensors 20, 6442.</w:t>
      </w:r>
      <w:r>
        <w:t xml:space="preserve"> </w:t>
      </w:r>
      <w:hyperlink r:id="rId64">
        <w:r>
          <w:rPr>
            <w:rStyle w:val="Hyperlink"/>
          </w:rPr>
          <w:t xml:space="preserve">https://doi.org/10.3390/s20226442</w:t>
        </w:r>
      </w:hyperlink>
    </w:p>
    <w:bookmarkEnd w:id="65"/>
    <w:bookmarkStart w:id="67" w:name="ref-baumann2017"/>
    <w:p>
      <w:pPr>
        <w:pStyle w:val="Bibliography"/>
      </w:pPr>
      <w:r>
        <w:t>Baumann, M., Gasparri, I., Piquer-Rodríguez, M., Ponzoni, G., Volante, J., Kuemmerle, T., 2017. Carbon emissions from agricultural expansion and intensification in the</w:t>
      </w:r>
      <w:r>
        <w:t xml:space="preserve"> </w:t>
      </w:r>
      <w:r>
        <w:t>Chaco</w:t>
      </w:r>
      <w:r>
        <w:t>. Global Change Biology 23, 1902–1916.</w:t>
      </w:r>
      <w:r>
        <w:t xml:space="preserve"> </w:t>
      </w:r>
      <w:hyperlink r:id="rId66">
        <w:r>
          <w:rPr>
            <w:rStyle w:val="Hyperlink"/>
          </w:rPr>
          <w:t xml:space="preserve">https://doi.org/10.1111/gcb.13521</w:t>
        </w:r>
      </w:hyperlink>
    </w:p>
    <w:bookmarkEnd w:id="67"/>
    <w:bookmarkStart w:id="69" w:name="ref-dormann2007"/>
    <w:p>
      <w:pPr>
        <w:pStyle w:val="Bibliography"/>
      </w:pPr>
      <w:r>
        <w:t>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8">
        <w:r>
          <w:rPr>
            <w:rStyle w:val="Hyperlink"/>
          </w:rPr>
          <w:t xml:space="preserve">https://doi.org/10.1111/j.2007.0906-7590.05171.x</w:t>
        </w:r>
      </w:hyperlink>
    </w:p>
    <w:bookmarkEnd w:id="69"/>
    <w:bookmarkStart w:id="71" w:name="ref-flannigan2009"/>
    <w:p>
      <w:pPr>
        <w:pStyle w:val="Bibliography"/>
      </w:pPr>
      <w:r>
        <w:t>Flannigan, M.D., Krawchuk, M.A., Groot, W.J. de, Wotton, B.M., Gowman, L.M., 2009. Implications of changing climate for global wildland fire. International Journal of Wildland Fire 18, 483–507.</w:t>
      </w:r>
      <w:r>
        <w:t xml:space="preserve"> </w:t>
      </w:r>
      <w:hyperlink r:id="rId70">
        <w:r>
          <w:rPr>
            <w:rStyle w:val="Hyperlink"/>
          </w:rPr>
          <w:t xml:space="preserve">https://doi.org/10.1071/WF08187</w:t>
        </w:r>
      </w:hyperlink>
    </w:p>
    <w:bookmarkEnd w:id="71"/>
    <w:bookmarkStart w:id="73" w:name="ref-flannigan2016"/>
    <w:p>
      <w:pPr>
        <w:pStyle w:val="Bibliography"/>
      </w:pPr>
      <w:r>
        <w:t>Flannigan, M.D., Wotton, B.M., Marshall, G.A., Groot, W.J. de, Johnston, J., Jurko, N., Cantin, A.S., 2016. Fuel moisture sensitivity to temperature and precipitation: Climate change implications. Climatic Change 134, 59–71.</w:t>
      </w:r>
      <w:r>
        <w:t xml:space="preserve"> </w:t>
      </w:r>
      <w:hyperlink r:id="rId72">
        <w:r>
          <w:rPr>
            <w:rStyle w:val="Hyperlink"/>
          </w:rPr>
          <w:t xml:space="preserve">https://doi.org/10.1007/s10584-015-1521-0</w:t>
        </w:r>
      </w:hyperlink>
    </w:p>
    <w:bookmarkEnd w:id="73"/>
    <w:bookmarkStart w:id="75" w:name="ref-hansen2013"/>
    <w:p>
      <w:pPr>
        <w:pStyle w:val="Bibliography"/>
      </w:pPr>
      <w:r>
        <w:t>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4">
        <w:r>
          <w:rPr>
            <w:rStyle w:val="Hyperlink"/>
          </w:rPr>
          <w:t xml:space="preserve">https://doi.org/10.1126/science.1244693</w:t>
        </w:r>
      </w:hyperlink>
    </w:p>
    <w:bookmarkEnd w:id="75"/>
    <w:bookmarkStart w:id="77" w:name="ref-jain2020review"/>
    <w:p>
      <w:pPr>
        <w:pStyle w:val="Bibliography"/>
      </w:pPr>
      <w:r>
        <w:t>Jain, P., Coogan, S.C.P., Subramanian, S.G., Crowley, M., Taylor, S., Flannigan, M.D., 2020. A review of machine learning applications in wildland fire science and management. Environmental Reviews 28, 478–505.</w:t>
      </w:r>
      <w:r>
        <w:t xml:space="preserve"> </w:t>
      </w:r>
      <w:hyperlink r:id="rId76">
        <w:r>
          <w:rPr>
            <w:rStyle w:val="Hyperlink"/>
          </w:rPr>
          <w:t xml:space="preserve">https://doi.org/10.1139/er-2020-0019</w:t>
        </w:r>
      </w:hyperlink>
    </w:p>
    <w:bookmarkEnd w:id="77"/>
    <w:bookmarkStart w:id="79" w:name="ref-jolly2015"/>
    <w:p>
      <w:pPr>
        <w:pStyle w:val="Bibliography"/>
      </w:pPr>
      <w:r>
        <w:t>Jolly, W.M., Cochrane, M.A., Freeborn, P.H., Holden, Z.A., Brown, T.J., Williamson, G.J., Bowman, D.M.J.S., 2015. Climate-induced variations in global wildfire danger from 1979 to 2013. Nature Communications 6, 7537.</w:t>
      </w:r>
      <w:r>
        <w:t xml:space="preserve"> </w:t>
      </w:r>
      <w:hyperlink r:id="rId78">
        <w:r>
          <w:rPr>
            <w:rStyle w:val="Hyperlink"/>
          </w:rPr>
          <w:t xml:space="preserve">https://doi.org/10.1038/ncomms8537</w:t>
        </w:r>
      </w:hyperlink>
    </w:p>
    <w:bookmarkEnd w:id="79"/>
    <w:bookmarkStart w:id="80" w:name="ref-ke2017lightgbm"/>
    <w:p>
      <w:pPr>
        <w:pStyle w:val="Bibliography"/>
      </w:pPr>
      <w:r>
        <w:t>Ke, G., Meng, Q., Finley, T., Wang, T., Chen, W., Ma, W., Ye, Q., Liu, T.-Y., 2017. LightGBM: A highly efficient gradient boosting decision tree. Advances in Neural Information Processing Systems (NeurIPS) 30, 3146–3154.</w:t>
      </w:r>
    </w:p>
    <w:bookmarkEnd w:id="80"/>
    <w:bookmarkStart w:id="82" w:name="ref-legendre1993"/>
    <w:p>
      <w:pPr>
        <w:pStyle w:val="Bibliography"/>
      </w:pPr>
      <w:r>
        <w:t>Legendre, P., 1993. Spatial autocorrelation: Trouble or new paradigm? Ecology 74, 1659–1673.</w:t>
      </w:r>
      <w:r>
        <w:t xml:space="preserve"> </w:t>
      </w:r>
      <w:hyperlink r:id="rId81">
        <w:r>
          <w:rPr>
            <w:rStyle w:val="Hyperlink"/>
          </w:rPr>
          <w:t xml:space="preserve">https://doi.org/10.2307/1939924</w:t>
        </w:r>
      </w:hyperlink>
    </w:p>
    <w:bookmarkEnd w:id="82"/>
    <w:bookmarkStart w:id="84" w:name="ref-lundberg2020treeshap"/>
    <w:p>
      <w:pPr>
        <w:pStyle w:val="Bibliography"/>
      </w:pPr>
      <w:r>
        <w:t>Lundberg, S.M., Erion, G., Chen, H., DeGrave, A., Prutkin, J.M., Nair, B., Katz, R., Himmelfarb, J., Bansal, N., Lee, S.-I., 2020. From local explanations to global understanding with explainable</w:t>
      </w:r>
      <w:r>
        <w:t xml:space="preserve"> </w:t>
      </w:r>
      <w:r>
        <w:t>AI</w:t>
      </w:r>
      <w:r>
        <w:t xml:space="preserve"> </w:t>
      </w:r>
      <w:r>
        <w:t>for trees. Nature Machine Intelligence 2, 56–67.</w:t>
      </w:r>
      <w:r>
        <w:t xml:space="preserve"> </w:t>
      </w:r>
      <w:hyperlink r:id="rId83">
        <w:r>
          <w:rPr>
            <w:rStyle w:val="Hyperlink"/>
          </w:rPr>
          <w:t xml:space="preserve">https://doi.org/10.1038/s42256-019-0138-9</w:t>
        </w:r>
      </w:hyperlink>
    </w:p>
    <w:bookmarkEnd w:id="84"/>
    <w:bookmarkStart w:id="86" w:name="ref-mapbiomas2023"/>
    <w:p>
      <w:pPr>
        <w:pStyle w:val="Bibliography"/>
      </w:pPr>
      <w:r>
        <w:t>MapBiomas Chaco, 2023. Colecci</w:t>
      </w:r>
      <w:r>
        <w:t>ó</w:t>
      </w:r>
      <w:r>
        <w:t>n 2 de los mapas anuales de cobertura y uso del suelo del</w:t>
      </w:r>
      <w:r>
        <w:t xml:space="preserve"> </w:t>
      </w:r>
      <w:r>
        <w:t>Gran Chaco Americano</w:t>
      </w:r>
      <w:r>
        <w:t xml:space="preserve"> </w:t>
      </w:r>
      <w:r>
        <w:t>[WWW Document]. URL</w:t>
      </w:r>
      <w:r>
        <w:t xml:space="preserve"> </w:t>
      </w:r>
      <w:hyperlink r:id="rId85">
        <w:r>
          <w:rPr>
            <w:rStyle w:val="Hyperlink"/>
          </w:rPr>
          <w:t xml:space="preserve">https://chaco.mapbiomas.org/</w:t>
        </w:r>
      </w:hyperlink>
      <w:r>
        <w:t xml:space="preserve"> </w:t>
      </w:r>
      <w:r>
        <w:t>(accessed 10.28.2026).</w:t>
      </w:r>
    </w:p>
    <w:bookmarkEnd w:id="86"/>
    <w:bookmarkStart w:id="88" w:name="ref-munoz2021era5land"/>
    <w:p>
      <w:pPr>
        <w:pStyle w:val="Bibliography"/>
      </w:pPr>
      <w:r>
        <w:t>Muñoz-Sabater, J., Dutra, E., Agustí-Panareda, A., Albergel, C., Arduini, G., Balsamo, G., Boussetta, S., Choulga, M., Harrigan, S., Hersbach, H., Martens, B., Miralles, D.G., Piles, M., Rodríguez-Fernández, N.J., Zsoter, E., Buontempo, C., Thépaut, J.-N., 2021.</w:t>
      </w:r>
      <w:r>
        <w:t xml:space="preserve"> </w:t>
      </w:r>
      <w:r>
        <w:t>ERA5-Land</w:t>
      </w:r>
      <w:r>
        <w:t>: A state-of-the-art global reanalysis dataset for land applications. Earth System Science Data 13, 4349–4383.</w:t>
      </w:r>
      <w:r>
        <w:t xml:space="preserve"> </w:t>
      </w:r>
      <w:hyperlink r:id="rId87">
        <w:r>
          <w:rPr>
            <w:rStyle w:val="Hyperlink"/>
          </w:rPr>
          <w:t xml:space="preserve">https://doi.org/10.5194/essd-13-4349-2021</w:t>
        </w:r>
      </w:hyperlink>
    </w:p>
    <w:bookmarkEnd w:id="88"/>
    <w:bookmarkStart w:id="90" w:name="ref-niculescu2005"/>
    <w:p>
      <w:pPr>
        <w:pStyle w:val="Bibliography"/>
      </w:pPr>
      <w:r>
        <w:t>Niculescu-Mizil, A., Caruana, R., 2005. Predicting good probabilities with supervised learning, in: Proceedings of the 22nd International Conference on Machine Learning (ICML). pp. 625–632.</w:t>
      </w:r>
      <w:r>
        <w:t xml:space="preserve"> </w:t>
      </w:r>
      <w:hyperlink r:id="rId89">
        <w:r>
          <w:rPr>
            <w:rStyle w:val="Hyperlink"/>
          </w:rPr>
          <w:t xml:space="preserve">https://doi.org/10.1145/1102351.1102430</w:t>
        </w:r>
      </w:hyperlink>
    </w:p>
    <w:bookmarkEnd w:id="90"/>
    <w:bookmarkStart w:id="92" w:name="ref-pivello2021"/>
    <w:p>
      <w:pPr>
        <w:pStyle w:val="Bibliography"/>
      </w:pPr>
      <w:r>
        <w:t>Pivello, V.R., Vieira, I., Christianini, A.V., Ribeiro, D.B., da Silva Menezes, L., Berlinck, C.N., Melo, F.P.L., Marengo, J.A., Tornquist, C.G., Tomas, W.M., Overbeck, G.E., 2021. Understanding</w:t>
      </w:r>
      <w:r>
        <w:t xml:space="preserve"> </w:t>
      </w:r>
      <w:r>
        <w:t>Brazil</w:t>
      </w:r>
      <w:r>
        <w:t>’s catastrophic fires: Causes, consequences and policy needed. Perspectives in Ecology and Conservation 19, 233–255.</w:t>
      </w:r>
      <w:r>
        <w:t xml:space="preserve"> </w:t>
      </w:r>
      <w:hyperlink r:id="rId91">
        <w:r>
          <w:rPr>
            <w:rStyle w:val="Hyperlink"/>
          </w:rPr>
          <w:t xml:space="preserve">https://doi.org/10.1016/j.pecon.2021.06.005</w:t>
        </w:r>
      </w:hyperlink>
    </w:p>
    <w:bookmarkEnd w:id="92"/>
    <w:bookmarkStart w:id="93" w:name="ref-platt1999"/>
    <w:p>
      <w:pPr>
        <w:pStyle w:val="Bibliography"/>
      </w:pPr>
      <w:r>
        <w:t>Platt, J., 1999. Probabilistic outputs for support vector machines and comparisons to regularized likelihood methods, in: Advances in Large Margin Classifiers. MIT Press, pp. 61–74.</w:t>
      </w:r>
    </w:p>
    <w:bookmarkEnd w:id="93"/>
    <w:bookmarkStart w:id="95" w:name="ref-ploton2020"/>
    <w:p>
      <w:pPr>
        <w:pStyle w:val="Bibliography"/>
      </w:pPr>
      <w:r>
        <w:t>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4">
        <w:r>
          <w:rPr>
            <w:rStyle w:val="Hyperlink"/>
          </w:rPr>
          <w:t xml:space="preserve">https://doi.org/10.1038/s41467-020-18321-y</w:t>
        </w:r>
      </w:hyperlink>
    </w:p>
    <w:bookmarkEnd w:id="95"/>
    <w:bookmarkStart w:id="97" w:name="ref-raasveldt2019duckdb"/>
    <w:p>
      <w:pPr>
        <w:pStyle w:val="Bibliography"/>
      </w:pPr>
      <w:r>
        <w:t>Raasveldt, M., Mühleisen, H., 2019. DuckDB: An embeddable analytical database, in: Proceedings of the 2019 International Conference on Management of Data (SIGMOD). pp. 1981–1984.</w:t>
      </w:r>
      <w:r>
        <w:t xml:space="preserve"> </w:t>
      </w:r>
      <w:hyperlink r:id="rId96">
        <w:r>
          <w:rPr>
            <w:rStyle w:val="Hyperlink"/>
          </w:rPr>
          <w:t xml:space="preserve">https://doi.org/10.1145/3299869.3320212</w:t>
        </w:r>
      </w:hyperlink>
    </w:p>
    <w:bookmarkEnd w:id="97"/>
    <w:bookmarkStart w:id="99" w:name="ref-roberts2017"/>
    <w:p>
      <w:pPr>
        <w:pStyle w:val="Bibliography"/>
      </w:pPr>
      <w:r>
        <w:t>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8">
        <w:r>
          <w:rPr>
            <w:rStyle w:val="Hyperlink"/>
          </w:rPr>
          <w:t xml:space="preserve">https://doi.org/10.1111/ecog.02881</w:t>
        </w:r>
      </w:hyperlink>
    </w:p>
    <w:bookmarkEnd w:id="99"/>
    <w:bookmarkStart w:id="101" w:name="ref-sanmiguel2012"/>
    <w:p>
      <w:pPr>
        <w:pStyle w:val="Bibliography"/>
      </w:pPr>
      <w:r>
        <w:t>San-Miguel-Ayanz, J., Schulte, E., Schmuck, G., Camia, A., Strobl, P., Liberta, G., Giovando, C., Boca, R., Sedano, F., Kempeneers, P., McInerney, D., Houston Durrant, T., 2012. Comprehensive monitoring of wildfires in</w:t>
      </w:r>
      <w:r>
        <w:t xml:space="preserve"> </w:t>
      </w:r>
      <w:r>
        <w:t>Europe</w:t>
      </w:r>
      <w:r>
        <w:t>: The</w:t>
      </w:r>
      <w:r>
        <w:t xml:space="preserve"> </w:t>
      </w:r>
      <w:r>
        <w:t>European Forest Fire Information System</w:t>
      </w:r>
      <w:r>
        <w:t xml:space="preserve"> </w:t>
      </w:r>
      <w:r>
        <w:t>(</w:t>
      </w:r>
      <w:r>
        <w:t>EFFIS</w:t>
      </w:r>
      <w:r>
        <w:t>). Approaches to Managing Disaster - Assessing Hazards, Emergencies and Disaster Impacts 87–108.</w:t>
      </w:r>
      <w:r>
        <w:t xml:space="preserve"> </w:t>
      </w:r>
      <w:hyperlink r:id="rId100">
        <w:r>
          <w:rPr>
            <w:rStyle w:val="Hyperlink"/>
          </w:rPr>
          <w:t xml:space="preserve">https://doi.org/10.5772/28441</w:t>
        </w:r>
      </w:hyperlink>
    </w:p>
    <w:bookmarkEnd w:id="101"/>
    <w:bookmarkStart w:id="103" w:name="ref-schroeder2014"/>
    <w:p>
      <w:pPr>
        <w:pStyle w:val="Bibliography"/>
      </w:pPr>
      <w:r>
        <w:t>Schroeder, W., Oliva, P., Giglio, L., Csiszar, I.A., 2014. The new</w:t>
      </w:r>
      <w:r>
        <w:t xml:space="preserve"> </w:t>
      </w:r>
      <w:r>
        <w:t>VIIRS</w:t>
      </w:r>
      <w:r>
        <w:t xml:space="preserve"> </w:t>
      </w:r>
      <w:r>
        <w:t>375 m active fire detection data product: Algorithm description and initial assessment. Remote Sensing of Environment 143, 85–96.</w:t>
      </w:r>
      <w:r>
        <w:t xml:space="preserve"> </w:t>
      </w:r>
      <w:hyperlink r:id="rId102">
        <w:r>
          <w:rPr>
            <w:rStyle w:val="Hyperlink"/>
          </w:rPr>
          <w:t xml:space="preserve">https://doi.org/10.1016/j.rse.2013.12.008</w:t>
        </w:r>
      </w:hyperlink>
    </w:p>
    <w:bookmarkEnd w:id="103"/>
    <w:bookmarkStart w:id="105" w:name="ref-setzer2019"/>
    <w:p>
      <w:pPr>
        <w:pStyle w:val="Bibliography"/>
      </w:pPr>
      <w:r>
        <w:t>Setzer, A., Sismanoglu, F., Alberto, M.C., Silva, J., Morelli, F., 2019. O m</w:t>
      </w:r>
      <w:r>
        <w:t>é</w:t>
      </w:r>
      <w:r>
        <w:t>todo de c</w:t>
      </w:r>
      <w:r>
        <w:t>á</w:t>
      </w:r>
      <w:r>
        <w:t>lculo do risco de fogo do</w:t>
      </w:r>
      <w:r>
        <w:t xml:space="preserve"> </w:t>
      </w:r>
      <w:r>
        <w:t>INPE</w:t>
      </w:r>
      <w:r>
        <w:t xml:space="preserve"> </w:t>
      </w:r>
      <w:r>
        <w:t>- vers</w:t>
      </w:r>
      <w:r>
        <w:t>ã</w:t>
      </w:r>
      <w:r>
        <w:t>o 2019 [WWW Document]. URL</w:t>
      </w:r>
      <w:r>
        <w:t xml:space="preserve"> </w:t>
      </w:r>
      <w:hyperlink r:id="rId104">
        <w:r>
          <w:rPr>
            <w:rStyle w:val="Hyperlink"/>
          </w:rPr>
          <w:t xml:space="preserve">http://queimadas.dgi.inpe.br</w:t>
        </w:r>
      </w:hyperlink>
      <w:r>
        <w:t xml:space="preserve"> </w:t>
      </w:r>
      <w:r>
        <w:t>(accessed 10.28.2026).</w:t>
      </w:r>
    </w:p>
    <w:bookmarkEnd w:id="105"/>
    <w:bookmarkStart w:id="107" w:name="ref-stocks1989"/>
    <w:p>
      <w:pPr>
        <w:pStyle w:val="Bibliography"/>
      </w:pPr>
      <w:r>
        <w:t>Stocks, B.J., Lawson, B.D., Alexander, M.E., Van Wagner, C.E., McAlpine, R.S., Lynham, T.J., Dubé, D.E., 1989. The</w:t>
      </w:r>
      <w:r>
        <w:t xml:space="preserve"> </w:t>
      </w:r>
      <w:r>
        <w:t>Canadian Forest Fire Danger Rating System</w:t>
      </w:r>
      <w:r>
        <w:t>: An overview. The Forestry Chronicle 65, 258–265.</w:t>
      </w:r>
      <w:r>
        <w:t xml:space="preserve"> </w:t>
      </w:r>
      <w:hyperlink r:id="rId106">
        <w:r>
          <w:rPr>
            <w:rStyle w:val="Hyperlink"/>
          </w:rPr>
          <w:t xml:space="preserve">https://doi.org/10.5558/tfc65258-4</w:t>
        </w:r>
      </w:hyperlink>
    </w:p>
    <w:bookmarkEnd w:id="107"/>
    <w:bookmarkStart w:id="109" w:name="ref-tobler1970"/>
    <w:p>
      <w:pPr>
        <w:pStyle w:val="Bibliography"/>
      </w:pPr>
      <w:r>
        <w:t>Tobler, W.R., 1970. A computer movie simulating urban growth in the</w:t>
      </w:r>
      <w:r>
        <w:t xml:space="preserve"> </w:t>
      </w:r>
      <w:r>
        <w:t>Detroit</w:t>
      </w:r>
      <w:r>
        <w:t xml:space="preserve"> </w:t>
      </w:r>
      <w:r>
        <w:t>region. Economic Geography 46, 234–240.</w:t>
      </w:r>
      <w:r>
        <w:t xml:space="preserve"> </w:t>
      </w:r>
      <w:hyperlink r:id="rId108">
        <w:r>
          <w:rPr>
            <w:rStyle w:val="Hyperlink"/>
          </w:rPr>
          <w:t xml:space="preserve">https://doi.org/10.2307/143141</w:t>
        </w:r>
      </w:hyperlink>
    </w:p>
    <w:bookmarkEnd w:id="109"/>
    <w:bookmarkStart w:id="111" w:name="ref-vallejos2015"/>
    <w:p>
      <w:pPr>
        <w:pStyle w:val="Bibliography"/>
      </w:pPr>
      <w:r>
        <w:t>Vallejos, M., Volante, J.N., Mosciaro, M.J., Vale, L.M., Bustamante, M.L., Paruelo, J.M., 2015. Transformation dynamics of the natural cover in the</w:t>
      </w:r>
      <w:r>
        <w:t xml:space="preserve"> </w:t>
      </w:r>
      <w:r>
        <w:t>Dry Chaco</w:t>
      </w:r>
      <w:r>
        <w:t xml:space="preserve"> </w:t>
      </w:r>
      <w:r>
        <w:t>ecoregion: A plot level geo-database from 1976 to 2012. Journal of Arid Environments 123, 3–11.</w:t>
      </w:r>
      <w:r>
        <w:t xml:space="preserve"> </w:t>
      </w:r>
      <w:hyperlink r:id="rId110">
        <w:r>
          <w:rPr>
            <w:rStyle w:val="Hyperlink"/>
          </w:rPr>
          <w:t xml:space="preserve">https://doi.org/10.1016/j.jaridenv.2014.11.009</w:t>
        </w:r>
      </w:hyperlink>
    </w:p>
    <w:bookmarkEnd w:id="111"/>
    <w:bookmarkStart w:id="112" w:name="ref-vanwagner1987"/>
    <w:p>
      <w:pPr>
        <w:pStyle w:val="Bibliography"/>
      </w:pPr>
      <w:r>
        <w:t>Van Wagner, C.E., 1987. Development and structure of the</w:t>
      </w:r>
      <w:r>
        <w:t xml:space="preserve"> </w:t>
      </w:r>
      <w:r>
        <w:t>Canadian Forest Fire Weather Index System</w:t>
      </w:r>
      <w:r>
        <w:t>. Canadian Forestry Service, Forestry Technical Report 35, 1–37.</w:t>
      </w:r>
    </w:p>
    <w:bookmarkEnd w:id="112"/>
    <w:bookmarkEnd w:id="113"/>
    <w:bookmarkEnd w:id="114"/>
    <w:bookmarkStart w:id="115" w:name="list-of-figures"/>
    <w:p>
      <w:pPr>
        <w:pStyle w:val="Heading1"/>
      </w:pPr>
      <w:r>
        <w:t>List of Figures</w:t>
      </w:r>
    </w:p>
    <w:p>
      <w:pPr>
        <w:pStyle w:val="ImageCaption"/>
        <w:spacing w:before="120" w:after="120" w:line="240" w:lineRule="auto"/>
        <w:jc w:val="left"/>
      </w:pPr>
      <w:r>
        <w:rPr>
          <w:rFonts w:ascii="Times New Roman" w:hAnsi="Times New Roman" w:cs="Times New Roman" w:eastAsia="Times New Roman"/>
          <w:i w:val="0"/>
          <w:color w:val="000000"/>
          <w:sz w:val="20"/>
        </w:rPr>
        <w:t>Figure 1: Graphical abstract. Temporal skill is not spatial skill: temporal ignition nowcast, M2 fallback in unseen blocks and decision value in propagation.</w:t>
      </w:r>
    </w:p>
    <w:p>
      <w:pPr>
        <w:pStyle w:val="ImageCaption"/>
        <w:spacing w:before="120" w:after="120" w:line="240" w:lineRule="auto"/>
        <w:jc w:val="left"/>
      </w:pPr>
      <w:r>
        <w:rPr>
          <w:rFonts w:ascii="Times New Roman" w:hAnsi="Times New Roman" w:cs="Times New Roman" w:eastAsia="Times New Roman"/>
          <w:i w:val="0"/>
          <w:color w:val="000000"/>
          <w:sz w:val="20"/>
        </w:rPr>
        <w:t>Figure 2: Computational framework. (a) Multisource 1-km² ingestion and biophysical gate; (b) D2 target operator; (c) decoupled M3/M2 ignition and t−1 propagation; (d) temporal, spatial, bootstrap and cost-loss evaluation. M1 is a diagnostic baseline; the 20-km buffer applies only to the spatial holdout.</w:t>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115"/>
    <w:sectPr>
      <w:footerReference w:type="default" r:id="rId10"/>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t>Sánchez Insfrán: Preprint submitted to Elsevier</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0"/>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0"/>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0"/>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0"/>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0"/>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5" Type="http://schemas.openxmlformats.org/officeDocument/2006/relationships/image" Target="media/rId25.png"/><Relationship Id="rId38" Type="http://schemas.openxmlformats.org/officeDocument/2006/relationships/image" Target="media/rId38.png"/><Relationship Id="rId31" Type="http://schemas.openxmlformats.org/officeDocument/2006/relationships/image" Target="media/rId31.png"/><Relationship Id="rId9" Type="http://schemas.openxmlformats.org/officeDocument/2006/relationships/image" Target="media/rId9.png"/><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57"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56" Type="http://schemas.openxmlformats.org/officeDocument/2006/relationships/hyperlink" Target="https://github.com/sanchezmartin093-code/Incendios_PY" TargetMode="External"/><Relationship Id="rId52" Type="http://schemas.openxmlformats.org/officeDocument/2006/relationships/hyperlink" Target="https://github.com/sanchezmartin093-code/Incendios_PY/releases/tag/v2.0.1"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57"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56" Type="http://schemas.openxmlformats.org/officeDocument/2006/relationships/hyperlink" Target="https://github.com/sanchezmartin093-code/Incendios_PY" TargetMode="External"/><Relationship Id="rId52" Type="http://schemas.openxmlformats.org/officeDocument/2006/relationships/hyperlink" Target="https://github.com/sanchezmartin093-code/Incendios_PY/releases/tag/v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Martín Sánchez Insfrán</dc:creator>
  <dc:language>en</dc:language>
  <cp:keywords/>
  <dcterms:created xsi:type="dcterms:W3CDTF">2026-10-29T14:34:13Z</dcterms:created>
  <dcterms:modified xsi:type="dcterms:W3CDTF">2026-10-29T14:34:13Z</dcterms:modified>
  <cp:lastModifiedBy>Martín Sánchez Insfrán</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