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D2 formally separates primary ignition from tactical fire spread.</w:t>
      </w:r>
    </w:p>
    <w:p>
      <w:pPr>
        <w:pStyle w:val="Compact"/>
        <w:numPr>
          <w:ilvl w:val="0"/>
          <w:numId w:val="1001"/>
        </w:numPr>
      </w:pPr>
      <w:r>
        <w:t xml:space="preserve">Gated M3/M2 inference links calibration, spatial blocks and cost-loss.</w:t>
      </w:r>
    </w:p>
    <w:p>
      <w:pPr>
        <w:pStyle w:val="Compact"/>
        <w:numPr>
          <w:ilvl w:val="0"/>
          <w:numId w:val="1001"/>
        </w:numPr>
      </w:pPr>
      <w:r>
        <w:t xml:space="preserve">M3 outperforms full Canadian FWI and INPE under the same retrospective D2 test.</w:t>
      </w:r>
    </w:p>
    <w:p>
      <w:pPr>
        <w:pStyle w:val="Compact"/>
        <w:numPr>
          <w:ilvl w:val="0"/>
          <w:numId w:val="1001"/>
        </w:numPr>
      </w:pPr>
      <w:r>
        <w:t xml:space="preserve">Spatial block holdout shows where the hybrid model does not transfer.</w:t>
      </w:r>
    </w:p>
    <w:p>
      <w:pPr>
        <w:pStyle w:val="Compact"/>
        <w:numPr>
          <w:ilvl w:val="0"/>
          <w:numId w:val="1001"/>
        </w:numPr>
      </w:pPr>
      <w:r>
        <w:t xml:space="preserve">National inference runs in 3.47 s and 2.21 GB peak RAM on ARM64.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2026-10-28T13:31:40Z</dcterms:created>
  <dcterms:modified xsi:type="dcterms:W3CDTF">2026-10-28T13:31:40Z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