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area under the receiver operating characteristic curve (ROC-AUC) 0.7844/0.7628 (Chaco/Oriental) versus 0.7817/0.7496 for M2. In 2023 development spatial blocks, M2 is the most robust model (0.6773/0.7470), and M1 does not outperform M2 on cells without history. An independent confirmation holdout retained M2 as the best spatial model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computational contribution lies in the D2 operator, the gated inference policy and the open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 The analysis covers the continuous 2018–2025 Visible Infrared Imaging Radiometer Suite (VIIRS) record over 400 006 cells</w:t>
      </w:r>
      <w:r>
        <w:t xml:space="preserve"> </w:t>
      </w:r>
      <w:r>
        <w:t>(Schroeder et al., 2014)</w:t>
      </w:r>
      <w:r>
        <w:t>, a period in which the multi-sensor VIIRS constellation (Suomi-NPP, NOAA-20 and NOAA-21) provides a comparatively consistent sampling effort.</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both problems by formalizing four reusable computational contributions, while keeping the learner intentionally replaceable: (i) a D2 target operator that separates primary ignition from tactical propagation; (ii) a gated inference architecture that uses a hybrid model (M3) where fire history exists and a base model (M2) where it does not; (iii) an evaluation harness that combines temporal holdout, spatial blocks, grouped bootstrap, lead-time and cost-loss analysis; and (iv) an open software and data infrastructure based on vectorized, zero-copy pipelines.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D2 target operator.</w:t>
      </w:r>
      <w:r>
        <w:t xml:space="preserve"> </w:t>
      </w:r>
      <w:r>
        <w:t>A reproducible rule that prevents persistence from being mixed with ignition and makes leakage checks explicit.</w:t>
      </w:r>
    </w:p>
    <w:p>
      <w:pPr>
        <w:pStyle w:val="Compact"/>
        <w:numPr>
          <w:ilvl w:val="0"/>
          <w:numId w:val="1001"/>
        </w:numPr>
      </w:pPr>
      <w:r>
        <w:rPr>
          <w:b/>
          <w:bCs/>
        </w:rPr>
        <w:t>M3/M2 inference.</w:t>
      </w:r>
      <w:r>
        <w:t xml:space="preserve"> </w:t>
      </w:r>
      <w:r>
        <w:t>A two-stage architecture that combines biophysical screening with a hybrid ignition model and a fallback for cells without fire history.</w:t>
      </w:r>
    </w:p>
    <w:p>
      <w:pPr>
        <w:pStyle w:val="Compact"/>
        <w:numPr>
          <w:ilvl w:val="0"/>
          <w:numId w:val="1001"/>
        </w:numPr>
      </w:pPr>
      <w:r>
        <w:rPr>
          <w:b/>
          <w:bCs/>
        </w:rPr>
        <w:t>Reproducible evaluation harness.</w:t>
      </w:r>
      <w:r>
        <w:t xml:space="preserve"> </w:t>
      </w:r>
      <w:r>
        <w:t>Grouped bootstrap, spatial blocks, lead-time, conformal coverage and cost-loss in one protocol.</w:t>
      </w:r>
    </w:p>
    <w:p>
      <w:pPr>
        <w:pStyle w:val="Compact"/>
        <w:numPr>
          <w:ilvl w:val="0"/>
          <w:numId w:val="1001"/>
        </w:numPr>
      </w:pPr>
      <w:r>
        <w:rPr>
          <w:b/>
          <w:bCs/>
        </w:rPr>
        <w:t>Open software and data.</w:t>
      </w:r>
      <w:r>
        <w:t xml:space="preserve"> </w:t>
      </w:r>
      <w:r>
        <w:t>A zero-copy Polars/DuckDB pipeline, public code, DOIs and tests.</w:t>
      </w:r>
    </w:p>
    <w:p>
      <w:pPr>
        <w:pStyle w:val="FirstParagraph"/>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p ≤ 0.001 with B = 1 000.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FWI and INPE are normalized indices, not calibrated probabilities. Dashes (—) indicate reference models or comparisons not evaluated by construction.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016"/>
              <w:gridCol w:w="1440"/>
              <w:gridCol w:w="1152"/>
              <w:gridCol w:w="1440"/>
              <w:gridCol w:w="1872"/>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01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440"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440"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and INPE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Compact"/>
        <w:numPr>
          <w:ilvl w:val="0"/>
          <w:numId w:val="1004"/>
        </w:numPr>
      </w:pPr>
      <w:r>
        <w:t>The study covers one country and two macro-regions; external validation is still missing.</w:t>
      </w:r>
    </w:p>
    <w:p>
      <w:pPr>
        <w:pStyle w:val="Compact"/>
        <w:numPr>
          <w:ilvl w:val="0"/>
          <w:numId w:val="1004"/>
        </w:numPr>
      </w:pPr>
      <w:r>
        <w:t>Fuel is an annual MapBiomas Collection 2 series (2017–2023) joined by prior year; 2024 uses the 2023 map with lag 1 and 2025 reuses 2023 with lag 2, so the 2025 fuel state is extrapolated.</w:t>
      </w:r>
    </w:p>
    <w:p>
      <w:pPr>
        <w:pStyle w:val="Compact"/>
        <w:numPr>
          <w:ilvl w:val="0"/>
          <w:numId w:val="1004"/>
        </w:numPr>
      </w:pPr>
      <w:r>
        <w:t>VIIRS can miss fires under clouds; no explicit observation model is implemented.</w:t>
      </w:r>
    </w:p>
    <w:p>
      <w:pPr>
        <w:pStyle w:val="Compact"/>
        <w:numPr>
          <w:ilvl w:val="0"/>
          <w:numId w:val="1004"/>
        </w:numPr>
      </w:pPr>
      <w:r>
        <w:t>ERA5-Land is used at 0.25° and 3-hourly resolution; intra-day VPD and wind peaks may be underestimated.</w:t>
      </w:r>
    </w:p>
    <w:p>
      <w:pPr>
        <w:pStyle w:val="Compact"/>
        <w:numPr>
          <w:ilvl w:val="0"/>
          <w:numId w:val="1004"/>
        </w:numPr>
      </w:pPr>
      <w:r>
        <w:t>Population-level ignition precision is very low (0.082 %/0.198 %), and cost-loss does not show a clear M3 advantage over M2.</w:t>
      </w:r>
    </w:p>
    <w:p>
      <w:pPr>
        <w:pStyle w:val="Compact"/>
        <w:numPr>
          <w:ilvl w:val="0"/>
          <w:numId w:val="1004"/>
        </w:numPr>
      </w:pPr>
      <w:r>
        <w:t>M3 loses spatial transferability; M2 is the operational fallback and M1 is a baseline. M1 should not be presented as a solution for new cells.</w:t>
      </w:r>
    </w:p>
    <w:p>
      <w:pPr>
        <w:pStyle w:val="Compact"/>
        <w:numPr>
          <w:ilvl w:val="0"/>
          <w:numId w:val="1004"/>
        </w:numPr>
      </w:pPr>
      <w:r>
        <w:t>The system is a nowcast/hindcast; a day-ahead forecast requires numerical weather prediction.</w:t>
      </w:r>
    </w:p>
    <w:p>
      <w:pPr>
        <w:pStyle w:val="Compact"/>
        <w:numPr>
          <w:ilvl w:val="0"/>
          <w:numId w:val="1004"/>
        </w:numPr>
      </w:pPr>
      <w:r>
        <w:t>Conformal coverage is empirical and does not guarantee performance under temporal shift.</w:t>
      </w:r>
    </w:p>
    <w:p>
      <w:pPr>
        <w:pStyle w:val="Compact"/>
        <w:numPr>
          <w:ilvl w:val="0"/>
          <w:numId w:val="1004"/>
        </w:numPr>
      </w:pPr>
      <w:r>
        <w:t>A coupled t-1 baseline was implemented on the combined gated sample and did not materially outperform the decoupled task architecture (Table S19); because it uses the same gated sample, it does not test removal of gating.</w:t>
      </w:r>
    </w:p>
    <w:p>
      <w:pPr>
        <w:pStyle w:val="Compact"/>
        <w:numPr>
          <w:ilvl w:val="0"/>
          <w:numId w:val="1004"/>
        </w:numPr>
      </w:pPr>
      <w:r>
        <w:t>The model has not been tested prospectively with an operational agency; the cost-loss and alert-map results are retrospective.</w:t>
      </w:r>
    </w:p>
    <w:p>
      <w:pPr>
        <w:pStyle w:val="Compact"/>
        <w:numPr>
          <w:ilvl w:val="0"/>
          <w:numId w:val="1004"/>
        </w:numPr>
      </w:pPr>
      <w:r>
        <w:t>The national grid and priors are tailored to Paraguay; transfer to another country would require rebuilding the grid, the historical priors and the prevalence metadata.</w:t>
      </w:r>
    </w:p>
    <w:p>
      <w:pPr>
        <w:pStyle w:val="Compact"/>
        <w:numPr>
          <w:ilvl w:val="0"/>
          <w:numId w:val="1004"/>
        </w:numPr>
      </w:pPr>
      <w:r>
        <w:t>The 10-day same-cell exclusion was retained as the operational default; the 7/10/14-d windows and 15/25/35-km radii were re-estimated with full retraining and did not change the model ranking (Table S20).</w:t>
      </w:r>
    </w:p>
    <w:p>
      <w:pPr>
        <w:pStyle w:val="Compact"/>
        <w:numPr>
          <w:ilvl w:val="0"/>
          <w:numId w:val="1004"/>
        </w:numPr>
      </w:pPr>
      <w:r>
        <w:t>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The dependency lock has exact versions but not wheel hashes; the exception is documented in</w:t>
      </w:r>
      <w:r>
        <w:t xml:space="preserve"> </w:t>
      </w:r>
      <w:r>
        <w:rPr>
          <w:rStyle w:val="VerbatimChar"/>
        </w:rPr>
        <w:t>auditoria/FASE2_0_LOCK_EXCEPTION.md</w:t>
      </w:r>
      <w:r>
        <w:t>.</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area under the receiver operating characteristic curve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A coupled t-1 comparator is reported in Supplementary Table S19, and the independent confirmation holdout is reported in Table S18. Future work should add external-country validation and a day-ahead weather source. Code and data are archived under the concept DOIs reported below, and the benchmark can be extended to other subtropical regions without changing the target logic.</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09" w:name="references"/>
    <w:p>
      <w:pPr>
        <w:pStyle w:val="Heading1"/>
      </w:pPr>
      <w:r>
        <w:t>References</w:t>
      </w:r>
    </w:p>
    <w:bookmarkStart w:id="108"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69">
        <w:r>
          <w:rPr>
            <w:rStyle w:val="Hyperlink"/>
          </w:rPr>
          <w:t xml:space="preserve">https://doi.org/10.1126/science.1244693</w:t>
        </w:r>
      </w:hyperlink>
    </w:p>
    <w:bookmarkEnd w:id="70"/>
    <w:bookmarkStart w:id="72"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1">
        <w:r>
          <w:rPr>
            <w:rStyle w:val="Hyperlink"/>
          </w:rPr>
          <w:t xml:space="preserve">https://doi.org/10.1139/er-2020-0019</w:t>
        </w:r>
      </w:hyperlink>
    </w:p>
    <w:bookmarkEnd w:id="72"/>
    <w:bookmarkStart w:id="74"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3">
        <w:r>
          <w:rPr>
            <w:rStyle w:val="Hyperlink"/>
          </w:rPr>
          <w:t xml:space="preserve">https://doi.org/10.1038/ncomms8537</w:t>
        </w:r>
      </w:hyperlink>
    </w:p>
    <w:bookmarkEnd w:id="74"/>
    <w:bookmarkStart w:id="75"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5"/>
    <w:bookmarkStart w:id="77"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6">
        <w:r>
          <w:rPr>
            <w:rStyle w:val="Hyperlink"/>
          </w:rPr>
          <w:t xml:space="preserve">https://doi.org/10.2307/1939924</w:t>
        </w:r>
      </w:hyperlink>
    </w:p>
    <w:bookmarkEnd w:id="77"/>
    <w:bookmarkStart w:id="79"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78">
        <w:r>
          <w:rPr>
            <w:rStyle w:val="Hyperlink"/>
          </w:rPr>
          <w:t xml:space="preserve">https://doi.org/10.1038/s42256-019-0138-9</w:t>
        </w:r>
      </w:hyperlink>
    </w:p>
    <w:bookmarkEnd w:id="79"/>
    <w:bookmarkStart w:id="81"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0">
        <w:r>
          <w:rPr>
            <w:rStyle w:val="Hyperlink"/>
          </w:rPr>
          <w:t xml:space="preserve">https://chaco.mapbiomas.org/</w:t>
        </w:r>
      </w:hyperlink>
      <w:r>
        <w:t>.</w:t>
      </w:r>
    </w:p>
    <w:bookmarkEnd w:id="81"/>
    <w:bookmarkStart w:id="83"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2">
        <w:r>
          <w:rPr>
            <w:rStyle w:val="Hyperlink"/>
          </w:rPr>
          <w:t xml:space="preserve">https://doi.org/10.5194/essd-13-4349-2021</w:t>
        </w:r>
      </w:hyperlink>
    </w:p>
    <w:bookmarkEnd w:id="83"/>
    <w:bookmarkStart w:id="85"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4">
        <w:r>
          <w:rPr>
            <w:rStyle w:val="Hyperlink"/>
          </w:rPr>
          <w:t xml:space="preserve">https://doi.org/10.1145/1102351.1102430</w:t>
        </w:r>
      </w:hyperlink>
    </w:p>
    <w:bookmarkEnd w:id="85"/>
    <w:bookmarkStart w:id="87"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6">
        <w:r>
          <w:rPr>
            <w:rStyle w:val="Hyperlink"/>
          </w:rPr>
          <w:t xml:space="preserve">https://doi.org/10.1016/j.pecon.2021.06.005</w:t>
        </w:r>
      </w:hyperlink>
    </w:p>
    <w:bookmarkEnd w:id="87"/>
    <w:bookmarkStart w:id="88"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88"/>
    <w:bookmarkStart w:id="90"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89">
        <w:r>
          <w:rPr>
            <w:rStyle w:val="Hyperlink"/>
          </w:rPr>
          <w:t xml:space="preserve">https://doi.org/10.1038/s41467-020-18321-y</w:t>
        </w:r>
      </w:hyperlink>
    </w:p>
    <w:bookmarkEnd w:id="90"/>
    <w:bookmarkStart w:id="92"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1">
        <w:r>
          <w:rPr>
            <w:rStyle w:val="Hyperlink"/>
          </w:rPr>
          <w:t xml:space="preserve">https://doi.org/10.1145/3299869.3320212</w:t>
        </w:r>
      </w:hyperlink>
    </w:p>
    <w:bookmarkEnd w:id="92"/>
    <w:bookmarkStart w:id="94"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3">
        <w:r>
          <w:rPr>
            <w:rStyle w:val="Hyperlink"/>
          </w:rPr>
          <w:t xml:space="preserve">https://doi.org/10.1111/ecog.02881</w:t>
        </w:r>
      </w:hyperlink>
    </w:p>
    <w:bookmarkEnd w:id="94"/>
    <w:bookmarkStart w:id="96"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5">
        <w:r>
          <w:rPr>
            <w:rStyle w:val="Hyperlink"/>
          </w:rPr>
          <w:t xml:space="preserve">https://doi.org/10.5772/28441</w:t>
        </w:r>
      </w:hyperlink>
    </w:p>
    <w:bookmarkEnd w:id="96"/>
    <w:bookmarkStart w:id="98"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7">
        <w:r>
          <w:rPr>
            <w:rStyle w:val="Hyperlink"/>
          </w:rPr>
          <w:t xml:space="preserve">https://doi.org/10.1016/j.rse.2013.12.008</w:t>
        </w:r>
      </w:hyperlink>
    </w:p>
    <w:bookmarkEnd w:id="98"/>
    <w:bookmarkStart w:id="100"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99">
        <w:r>
          <w:rPr>
            <w:rStyle w:val="Hyperlink"/>
          </w:rPr>
          <w:t xml:space="preserve">http://queimadas.dgi.inpe.br</w:t>
        </w:r>
      </w:hyperlink>
    </w:p>
    <w:bookmarkEnd w:id="100"/>
    <w:bookmarkStart w:id="102"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1">
        <w:r>
          <w:rPr>
            <w:rStyle w:val="Hyperlink"/>
          </w:rPr>
          <w:t xml:space="preserve">https://doi.org/10.5558/tfc65258-4</w:t>
        </w:r>
      </w:hyperlink>
    </w:p>
    <w:bookmarkEnd w:id="102"/>
    <w:bookmarkStart w:id="104"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3">
        <w:r>
          <w:rPr>
            <w:rStyle w:val="Hyperlink"/>
          </w:rPr>
          <w:t xml:space="preserve">https://doi.org/10.2307/143141</w:t>
        </w:r>
      </w:hyperlink>
    </w:p>
    <w:bookmarkEnd w:id="104"/>
    <w:bookmarkStart w:id="106"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5">
        <w:r>
          <w:rPr>
            <w:rStyle w:val="Hyperlink"/>
          </w:rPr>
          <w:t xml:space="preserve">https://doi.org/10.1016/j.jaridenv.2014.11.009</w:t>
        </w:r>
      </w:hyperlink>
    </w:p>
    <w:bookmarkEnd w:id="106"/>
    <w:bookmarkStart w:id="107"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7"/>
    <w:bookmarkEnd w:id="108"/>
    <w:bookmarkEnd w:id="109"/>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99" Type="http://schemas.openxmlformats.org/officeDocument/2006/relationships/hyperlink" Target="http://queimadas.dgi.inpe.br" TargetMode="External"/><Relationship Id="rId80" Type="http://schemas.openxmlformats.org/officeDocument/2006/relationships/hyperlink" Target="https://chaco.mapbiomas.org/" TargetMode="External"/><Relationship Id="rId105" Type="http://schemas.openxmlformats.org/officeDocument/2006/relationships/hyperlink" Target="https://doi.org/10.1016/j.jaridenv.2014.11.009" TargetMode="External"/><Relationship Id="rId86" Type="http://schemas.openxmlformats.org/officeDocument/2006/relationships/hyperlink" Target="https://doi.org/10.1016/j.pecon.2021.06.005" TargetMode="External"/><Relationship Id="rId97" Type="http://schemas.openxmlformats.org/officeDocument/2006/relationships/hyperlink" Target="https://doi.org/10.1016/j.rse.2013.12.008" TargetMode="External"/><Relationship Id="rId73" Type="http://schemas.openxmlformats.org/officeDocument/2006/relationships/hyperlink" Target="https://doi.org/10.1038/ncomms8537" TargetMode="External"/><Relationship Id="rId89" Type="http://schemas.openxmlformats.org/officeDocument/2006/relationships/hyperlink" Target="https://doi.org/10.1038/s41467-020-18321-y" TargetMode="External"/><Relationship Id="rId78"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3"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69" Type="http://schemas.openxmlformats.org/officeDocument/2006/relationships/hyperlink" Target="https://doi.org/10.1126/science.1244693" TargetMode="External"/><Relationship Id="rId71" Type="http://schemas.openxmlformats.org/officeDocument/2006/relationships/hyperlink" Target="https://doi.org/10.1139/er-2020-0019" TargetMode="External"/><Relationship Id="rId84" Type="http://schemas.openxmlformats.org/officeDocument/2006/relationships/hyperlink" Target="https://doi.org/10.1145/1102351.1102430" TargetMode="External"/><Relationship Id="rId91" Type="http://schemas.openxmlformats.org/officeDocument/2006/relationships/hyperlink" Target="https://doi.org/10.1145/3299869.3320212" TargetMode="External"/><Relationship Id="rId103" Type="http://schemas.openxmlformats.org/officeDocument/2006/relationships/hyperlink" Target="https://doi.org/10.2307/143141" TargetMode="External"/><Relationship Id="rId76"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2" Type="http://schemas.openxmlformats.org/officeDocument/2006/relationships/hyperlink" Target="https://doi.org/10.5194/essd-13-4349-2021" TargetMode="External"/><Relationship Id="rId101" Type="http://schemas.openxmlformats.org/officeDocument/2006/relationships/hyperlink" Target="https://doi.org/10.5558/tfc65258-4" TargetMode="External"/><Relationship Id="rId95"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9" Type="http://schemas.openxmlformats.org/officeDocument/2006/relationships/hyperlink" Target="http://queimadas.dgi.inpe.br" TargetMode="External"/><Relationship Id="rId80" Type="http://schemas.openxmlformats.org/officeDocument/2006/relationships/hyperlink" Target="https://chaco.mapbiomas.org/" TargetMode="External"/><Relationship Id="rId105" Type="http://schemas.openxmlformats.org/officeDocument/2006/relationships/hyperlink" Target="https://doi.org/10.1016/j.jaridenv.2014.11.009" TargetMode="External"/><Relationship Id="rId86" Type="http://schemas.openxmlformats.org/officeDocument/2006/relationships/hyperlink" Target="https://doi.org/10.1016/j.pecon.2021.06.005" TargetMode="External"/><Relationship Id="rId97" Type="http://schemas.openxmlformats.org/officeDocument/2006/relationships/hyperlink" Target="https://doi.org/10.1016/j.rse.2013.12.008" TargetMode="External"/><Relationship Id="rId73" Type="http://schemas.openxmlformats.org/officeDocument/2006/relationships/hyperlink" Target="https://doi.org/10.1038/ncomms8537" TargetMode="External"/><Relationship Id="rId89" Type="http://schemas.openxmlformats.org/officeDocument/2006/relationships/hyperlink" Target="https://doi.org/10.1038/s41467-020-18321-y" TargetMode="External"/><Relationship Id="rId78"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3"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69" Type="http://schemas.openxmlformats.org/officeDocument/2006/relationships/hyperlink" Target="https://doi.org/10.1126/science.1244693" TargetMode="External"/><Relationship Id="rId71" Type="http://schemas.openxmlformats.org/officeDocument/2006/relationships/hyperlink" Target="https://doi.org/10.1139/er-2020-0019" TargetMode="External"/><Relationship Id="rId84" Type="http://schemas.openxmlformats.org/officeDocument/2006/relationships/hyperlink" Target="https://doi.org/10.1145/1102351.1102430" TargetMode="External"/><Relationship Id="rId91" Type="http://schemas.openxmlformats.org/officeDocument/2006/relationships/hyperlink" Target="https://doi.org/10.1145/3299869.3320212" TargetMode="External"/><Relationship Id="rId103" Type="http://schemas.openxmlformats.org/officeDocument/2006/relationships/hyperlink" Target="https://doi.org/10.2307/143141" TargetMode="External"/><Relationship Id="rId76"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2" Type="http://schemas.openxmlformats.org/officeDocument/2006/relationships/hyperlink" Target="https://doi.org/10.5194/essd-13-4349-2021" TargetMode="External"/><Relationship Id="rId101" Type="http://schemas.openxmlformats.org/officeDocument/2006/relationships/hyperlink" Target="https://doi.org/10.5558/tfc65258-4" TargetMode="External"/><Relationship Id="rId95"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2026-10-28T15:23:11Z</dcterms:created>
  <dcterms:modified xsi:type="dcterms:W3CDTF">2026-10-28T15:23:11Z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