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manuscrito.pdf</w:t>
      </w:r>
      <w:r>
        <w:t xml:space="preserve">,</w:t>
      </w:r>
      <w:r>
        <w:t xml:space="preserve"> </w:t>
      </w:r>
      <w:r>
        <w:rPr>
          <w:rStyle w:val="VerbatimChar"/>
        </w:rPr>
        <w:t xml:space="preserve">manuscrito.docx</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 (</w:t>
      </w:r>
      <w:r>
        <w:rPr>
          <w:rStyle w:val="VerbatimChar"/>
        </w:rPr>
        <w:t xml:space="preserve">title_page.qmd</w:t>
      </w:r>
      <w:r>
        <w:t xml:space="preserve">).</w:t>
      </w:r>
    </w:p>
    <w:bookmarkStart w:id="9" w:name="resumen"/>
    <w:p>
      <w:pPr>
        <w:pStyle w:val="Heading1"/>
      </w:pPr>
      <w:r>
        <w:t xml:space="preserve">Resumen</w:t>
      </w:r>
    </w:p>
    <w:p>
      <w:pPr>
        <w:pStyle w:val="FirstParagraph"/>
      </w:pPr>
      <w:r>
        <w:t xml:space="preserve">La predicción operativa de incendios con aprendizaje automático sufre a menudo fugas espaciales y una transferibilidad limitada de los índices boreales a biomas subtropicales.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 t sin fuego t-1 a menos de 25 km y sin fuego en la misma celda en los 10 días previos; la propagación se evalúa a menos de 25 km de un fuego t-1. Un gate biofísico elimina celdas-día no combustibles y húmedas. Un modelo híbrido LightGBM (M3) predice ignición sin insumos de fuego t-1, con M2 como fallback para celdas sin historia y M1 como baseline biofísico. En validación 2023, M3 alcanza ROC-AUC 0.7844/0.7628 (Chaco/Oriental), frente a 0.7817/0.7496 de M2; el baseline biofísico M1 se reporta en la Tabla S16 del suplemento. En bloques espaciales de desarrollo 2023, M2 es el más robusto (0.6773/0.7470) y M1 no supera a M2 en celdas sin historia, por lo que M1 se rechaza como fallback operativo (Tablas S8 y S16 del suplemento). Un holdout independiente de bloques de confirmación 2023 retuvo a M2 como el mejor modelo (0.6871/0.6621), por delante de M3 (0.6757/0.6344) y M1 (0.6435/0.6388). En el test retrospectivo 2024–2025, M3 alcanza 0.8021/0.7534 frente a 0.5173/0.5564 del FWI canadiense y 0.5389/0.4990 del INPE; la propagación alcanza 0.9039/0.7859. La precisión poblacional de ignición es solo 0.082 %/0.198 %, por lo que el sistema es una herramienta de nowcast y priorización, no un sistema de alerta autónomo. El test 2024–2025 ya fue observado y se reporta como retrospectivo, no como ciego. La contribución computacional es el operador D2, la política de inferencia con gating y un arnés de evaluación reutilizable, publicado como software abierto; el aprendiz es una elección de implementación, no la novedad.</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 El análisis cubre el registro continuo VIIRS 2018–2025 sobre 400 006 celdas</w:t>
      </w:r>
      <w:r>
        <w:t xml:space="preserve"> </w:t>
      </w:r>
      <w:r>
        <w:t xml:space="preserve">(Schroeder et al., 2014)</w:t>
      </w:r>
      <w:r>
        <w:t xml:space="preserve">, un período en el que la constelación multi-sensor VIIRS (Suomi-NPP, NOAA-20 y NOAA-21) proporciona un esfuerzo de muestreo comparativamente consistente.</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 t-1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ambos problemas formalizando cuatro contribuciones computacionales reutilizables, manteniendo al aprendiz intencionalmente reemplazable: (i) un operador de objetivos D2 que separa la ignición primaria de la propagación táctica; (ii) una arquitectura de inferencia con gating que usa un modelo híbrido (M3) donde existe historia de fuego y el modelo base (M2) donde no; (iii) un arnés de evaluación que combina holdout temporal, bloques espaciales, bootstrap agrupado, lead time y análisis cost-loss; y (iv) una infraestructura abierta de software y datos con pipelines vectorizados zero-copy. La contribución geocientífica es un benchmark transferible y controlado contra fugas: el FWI completo y el INPE se prueban bajo el mismo protocolo D2 en el Gran Chaco, y se reportan explícitamente los límites temporales y espaciales del modelo híbrido.</w:t>
      </w:r>
    </w:p>
    <w:p>
      <w:pPr>
        <w:pStyle w:val="BodyText"/>
      </w:pPr>
      <w:r>
        <w:t xml:space="preserve">La novedad es computacional e infraestructural: D2 formaliza el contrato del objetivo, la inferencia con gating define la política operativa, el arnés hace reproducible la evidencia espacial, temporal, de calibración y cost-loss, y el software expone el contrato a otros aprendices. El caso nacional es un banco de pruebas para regiones subtropicales con escasez de datos; no afirmamos validez universal. Las principales contribuciones computacionales son:</w:t>
      </w:r>
    </w:p>
    <w:p>
      <w:pPr>
        <w:pStyle w:val="Compact"/>
        <w:numPr>
          <w:ilvl w:val="0"/>
          <w:numId w:val="1001"/>
        </w:numPr>
      </w:pPr>
      <w:r>
        <w:rPr>
          <w:b/>
          <w:bCs/>
        </w:rPr>
        <w:t xml:space="preserve">Operador de objetivos D2.</w:t>
      </w:r>
      <w:r>
        <w:t xml:space="preserve"> </w:t>
      </w:r>
      <w:r>
        <w:t xml:space="preserve">Una regla reproducible que evita mezclar persistencia con ignición y hace explícitos los controles de fuga.</w:t>
      </w:r>
    </w:p>
    <w:p>
      <w:pPr>
        <w:pStyle w:val="Compact"/>
        <w:numPr>
          <w:ilvl w:val="0"/>
          <w:numId w:val="1001"/>
        </w:numPr>
      </w:pPr>
      <w:r>
        <w:rPr>
          <w:b/>
          <w:bCs/>
        </w:rPr>
        <w:t xml:space="preserve">Inferencia M3/M2.</w:t>
      </w:r>
      <w:r>
        <w:t xml:space="preserve"> </w:t>
      </w:r>
      <w:r>
        <w:t xml:space="preserve">Una arquitectura de dos etapas que combina cribado biofísico con un modelo híbrido de ignición y un fallback base para celdas sin historia de fuego.</w:t>
      </w:r>
    </w:p>
    <w:p>
      <w:pPr>
        <w:pStyle w:val="Compact"/>
        <w:numPr>
          <w:ilvl w:val="0"/>
          <w:numId w:val="1001"/>
        </w:numPr>
      </w:pPr>
      <w:r>
        <w:rPr>
          <w:b/>
          <w:bCs/>
        </w:rPr>
        <w:t xml:space="preserve">Arnés de evaluación reproducible.</w:t>
      </w:r>
      <w:r>
        <w:t xml:space="preserve"> </w:t>
      </w:r>
      <w:r>
        <w:t xml:space="preserve">Bootstrap agrupado, bloques espaciales, lead time, cobertura conformal y cost-loss en un solo protocolo.</w:t>
      </w:r>
    </w:p>
    <w:p>
      <w:pPr>
        <w:pStyle w:val="Compact"/>
        <w:numPr>
          <w:ilvl w:val="0"/>
          <w:numId w:val="1001"/>
        </w:numPr>
      </w:pPr>
      <w:r>
        <w:rPr>
          <w:b/>
          <w:bCs/>
        </w:rPr>
        <w:t xml:space="preserve">Software y datos abiertos.</w:t>
      </w:r>
      <w:r>
        <w:t xml:space="preserve"> </w:t>
      </w:r>
      <w:r>
        <w:t xml:space="preserve">Un pipeline zero-copy en Polars/DuckDB, código público, DOI y pruebas.</w:t>
      </w:r>
    </w:p>
    <w:p>
      <w:pPr>
        <w:pStyle w:val="FirstParagraph"/>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la utilidad operativa.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Como se hacen cuatro comparaciones principales frente a FWI e INPE, las afirmaciones de significancia deben leerse como un cribado conservador, no como inferencia ajustada por multiplicidad. La resolución del bootstrap es 0.001, por lo que los valores p se reportan como ≤0.001. El protocolo se aplica sin modificar el test. El operador de objetivos, la lista de celdas-día de test y los scripts de evaluación están archivados con la release del código. El protocolo completo se reporta en la Nota complementaria S3 y las Tablas S7–S14.</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&amp;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5"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en el Chaco y 0.198 % en la Región Oriental. La precisión de propagación es 9.67 % y 4.78 %.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 0.001 con B = 1 000.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FWI e INPE son índices normalizados, no probabilidades calibradas. Los guiones (—) indican modelos de referencia o comparaciones no evaluadas por construcción. La tabla completa está en la Tabla S11 del suplemento.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y al INPE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w:t>
      </w:r>
    </w:p>
    <w:bookmarkEnd w:id="38"/>
    <w:bookmarkStart w:id="43" w:name="utilidad-operativa"/>
    <w:p>
      <w:pPr>
        <w:pStyle w:val="Heading2"/>
      </w:pPr>
      <w:r>
        <w:t xml:space="preserve">3.4 Utilidad operativa</w:t>
      </w:r>
    </w:p>
    <w:p>
      <w:pPr>
        <w:pStyle w:val="FirstParagraph"/>
      </w:pPr>
      <w:r>
        <w:t xml:space="preserve">El análisis cost-loss es sobrio para la ignición: M3 no supera claramente a M2, y en el Chaco M2 es ligeramente mejor en el óptimo. La capa de propagación sí muestra valor cerca de α = 0.002. La tabla y las curvas completas de cost-loss están en la Tabla S14 y la Figura S3 del suplemento. El producto operativo, por tanto, prioriza la propagación y usa la ignición como capa de cribado.</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r>
        <w:t xml:space="preserve">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omprobaciones-de-reproducibilidad"/>
    <w:p>
      <w:pPr>
        <w:pStyle w:val="Heading2"/>
      </w:pPr>
      <w:r>
        <w:t xml:space="preserve">3.5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v2.0.1; los DOI conceptuales de código y datos se reportan en las secciones de disponibilidad.</w:t>
      </w:r>
    </w:p>
    <w:bookmarkEnd w:id="44"/>
    <w:bookmarkEnd w:id="45"/>
    <w:bookmarkStart w:id="50" w:name="discusión"/>
    <w:p>
      <w:pPr>
        <w:pStyle w:val="Heading1"/>
      </w:pPr>
      <w:r>
        <w:t xml:space="preserve">4. Discusión</w:t>
      </w:r>
    </w:p>
    <w:bookmarkStart w:id="46"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meteorológico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 En el Chaco semiárido, los combustibles portantes son pastos finos y arbustos que responden en horas a la demanda atmosférica, mientras que el patrón espacial de ignición está gobernado por fuentes ligadas al manejo del territorio y al acceso. Un índice puramente meteorológico no contiene, por tanto, información sobre dónde se localizan esas fuentes antrópicas de ignición,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estructurales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6"/>
    <w:bookmarkStart w:id="47"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 t-1 y un holdout de bloques espaciales es la principal contribución metodológica.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 t-1,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7"/>
    <w:bookmarkStart w:id="48"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8"/>
    <w:bookmarkStart w:id="49" w:name="limitaciones"/>
    <w:p>
      <w:pPr>
        <w:pStyle w:val="Heading2"/>
      </w:pPr>
      <w:r>
        <w:t xml:space="preserve">4.4 Limitaciones</w:t>
      </w:r>
    </w:p>
    <w:p>
      <w:pPr>
        <w:pStyle w:val="Compact"/>
        <w:numPr>
          <w:ilvl w:val="0"/>
          <w:numId w:val="1004"/>
        </w:numPr>
      </w:pPr>
      <w:r>
        <w:t xml:space="preserve">El estudio cubre un solo país y dos macro-regiones; aún falta validación externa.</w:t>
      </w:r>
    </w:p>
    <w:p>
      <w:pPr>
        <w:pStyle w:val="Compact"/>
        <w:numPr>
          <w:ilvl w:val="0"/>
          <w:numId w:val="1004"/>
        </w:numPr>
      </w:pPr>
      <w:r>
        <w:t xml:space="preserve">El combustible es una serie anual de MapBiomas Colección 2 (2017–2023) unida por año previo; 2024 usa el mapa 2023 con lag 1 y 2025 reutiliza 2023 con lag 2, por lo que el estado de combustible de 2025 es extrapolado.</w:t>
      </w:r>
    </w:p>
    <w:p>
      <w:pPr>
        <w:pStyle w:val="Compact"/>
        <w:numPr>
          <w:ilvl w:val="0"/>
          <w:numId w:val="1004"/>
        </w:numPr>
      </w:pPr>
      <w:r>
        <w:t xml:space="preserve">VIIRS puede perder incendios bajo nubes; no se implementa un modelo de observación explícito.</w:t>
      </w:r>
    </w:p>
    <w:p>
      <w:pPr>
        <w:pStyle w:val="Compact"/>
        <w:numPr>
          <w:ilvl w:val="0"/>
          <w:numId w:val="1004"/>
        </w:numPr>
      </w:pPr>
      <w:r>
        <w:t xml:space="preserve">ERA5-Land se usa a 0.25° y resolución de 3 horas; los picos intradía de VPD y viento pueden subestimarse.</w:t>
      </w:r>
    </w:p>
    <w:p>
      <w:pPr>
        <w:pStyle w:val="Compact"/>
        <w:numPr>
          <w:ilvl w:val="0"/>
          <w:numId w:val="1004"/>
        </w:numPr>
      </w:pPr>
      <w:r>
        <w:t xml:space="preserve">La precisión poblacional de ignición es muy baja (0.082 %/0.198 %), y cost-loss no muestra una ventaja clara de M3 sobre M2.</w:t>
      </w:r>
    </w:p>
    <w:p>
      <w:pPr>
        <w:pStyle w:val="Compact"/>
        <w:numPr>
          <w:ilvl w:val="0"/>
          <w:numId w:val="1004"/>
        </w:numPr>
      </w:pPr>
      <w:r>
        <w:t xml:space="preserve">M3 pierde transferibilidad espacial; M2 es el fallback operativo y M1 queda como baseline. M1 no debe presentarse como solución para celdas nuevas.</w:t>
      </w:r>
    </w:p>
    <w:p>
      <w:pPr>
        <w:pStyle w:val="Compact"/>
        <w:numPr>
          <w:ilvl w:val="0"/>
          <w:numId w:val="1004"/>
        </w:numPr>
      </w:pPr>
      <w:r>
        <w:t xml:space="preserve">El sistema es un nowcast/hindcast; un pronóstico a un día requiere predicción numérica del tiempo.</w:t>
      </w:r>
    </w:p>
    <w:p>
      <w:pPr>
        <w:pStyle w:val="Compact"/>
        <w:numPr>
          <w:ilvl w:val="0"/>
          <w:numId w:val="1004"/>
        </w:numPr>
      </w:pPr>
      <w:r>
        <w:t xml:space="preserve">La cobertura conformal es empírica y no garantiza desempeño bajo cambio temporal.</w:t>
      </w:r>
    </w:p>
    <w:p>
      <w:pPr>
        <w:pStyle w:val="Compact"/>
        <w:numPr>
          <w:ilvl w:val="0"/>
          <w:numId w:val="1004"/>
        </w:numPr>
      </w:pPr>
      <w:r>
        <w:t xml:space="preserve">Se implementó un baseline acoplado t-1 sobre la muestra gated combinada y no superó materialmente a la arquitectura desacoplada (Tabla S19); como usa la misma muestra gated, no prueba la eliminación del gating.</w:t>
      </w:r>
    </w:p>
    <w:p>
      <w:pPr>
        <w:pStyle w:val="Compact"/>
        <w:numPr>
          <w:ilvl w:val="0"/>
          <w:numId w:val="1004"/>
        </w:numPr>
      </w:pPr>
      <w:r>
        <w:t xml:space="preserve">El modelo no se ha probado prospectivamente con una agencia operativa; los resultados de cost-loss y del mapa de alerta son retrospectivos.</w:t>
      </w:r>
    </w:p>
    <w:p>
      <w:pPr>
        <w:pStyle w:val="Compact"/>
        <w:numPr>
          <w:ilvl w:val="0"/>
          <w:numId w:val="1004"/>
        </w:numPr>
      </w:pPr>
      <w:r>
        <w:t xml:space="preserve">La grilla nacional y los priors están adaptados a Paraguay; la transferencia a otro país requeriría reconstruir la grilla, los priors históricos y los metadatos de prevalencia.</w:t>
      </w:r>
    </w:p>
    <w:p>
      <w:pPr>
        <w:pStyle w:val="Compact"/>
        <w:numPr>
          <w:ilvl w:val="0"/>
          <w:numId w:val="1004"/>
        </w:numPr>
      </w:pPr>
      <w:r>
        <w:t xml:space="preserve">La exclusión de 10 días en la misma celda se mantuvo como default operativo; las ventanas 7/10/14 d y los radios 15/25/35 km se reestimaron con reentrenamiento completo y no cambiaron el ranking de modelos (Tabla S20).</w:t>
      </w:r>
    </w:p>
    <w:p>
      <w:pPr>
        <w:pStyle w:val="Compact"/>
        <w:numPr>
          <w:ilvl w:val="0"/>
          <w:numId w:val="1004"/>
        </w:numPr>
      </w:pPr>
      <w:r>
        <w:t xml:space="preserve">El test 2024–2025 es retrospectivo, no ciego: ya fue observado durante el desarrollo. El 90.65 % de las celdas de test aparecen también en train por solapamiento temporal, lo que limita la interpretación como generalización espacial.</w:t>
      </w:r>
    </w:p>
    <w:p>
      <w:pPr>
        <w:pStyle w:val="Compact"/>
        <w:numPr>
          <w:ilvl w:val="0"/>
          <w:numId w:val="1004"/>
        </w:numPr>
      </w:pPr>
      <w:r>
        <w:t xml:space="preserve">El lock de dependencias tiene versiones exactas pero no hashes de ruedas; la excepción está documentada en</w:t>
      </w:r>
      <w:r>
        <w:t xml:space="preserve"> </w:t>
      </w:r>
      <w:r>
        <w:rPr>
          <w:rStyle w:val="VerbatimChar"/>
        </w:rPr>
        <w:t xml:space="preserve">auditoria/FASE2_0_LOCK_EXCEPTION.md</w:t>
      </w:r>
      <w:r>
        <w:t xml:space="preserve">.</w:t>
      </w:r>
    </w:p>
    <w:bookmarkEnd w:id="49"/>
    <w:bookmarkEnd w:id="50"/>
    <w:bookmarkStart w:id="51" w:name="conclusiones"/>
    <w:p>
      <w:pPr>
        <w:pStyle w:val="Heading1"/>
      </w:pPr>
      <w:r>
        <w:t xml:space="preserve">5. Conclusiones</w:t>
      </w:r>
    </w:p>
    <w:p>
      <w:pPr>
        <w:pStyle w:val="FirstParagraph"/>
      </w:pPr>
      <w:r>
        <w:t xml:space="preserve">Presentamos un marco computacional reproducible para el benchmarking desacoplado de ignición y propagación de incendios. D2 separa la ignición de la persistencia; la arquitectura M3/M2 proporciona un nowcast temporal con un fallback espacialmente más robusto; y el arnés abierto hace auditable el benchmark. La selección se hizo con validación 2023: M3 alcanzó ROC-AUC 0.7844/0.7628 y M2 fue el mejor en bloques espaciales (0.6773/0.7470). En el test retrospectivo 2024–2025, M3 alcanza 0.8021/0.7534 frente a 0.5173/0.5564 del FWI completo y 0.5389/0.4990 del INPE, pero la precisión poblacional es baja y la ventaja híbrida no se transfiere espacialmente. M1 no se sostiene como fallback; M2 lo reemplaza y M3 se presenta como un nowcast consciente de la recurrencia, no como un modelo universal de ignición. El resultado más útil no es un único mapa: es un protocolo que muestra dónde es válido un modelo, dónde falla y cómo reproducir el resultado. El comparador acoplado t-1 se reporta en la Tabla S19 del suplemento y el holdout independiente de confirmación en la Tabla S18. El trabajo futuro debería añadir validación en otro país y una fuente de meteorología a un día. El código y los datos se archivan bajo los DOI conceptuales reportados abajo, y el benchmark puede extenderse a otras regiones subtropicales sin cambiar la lógica de objetivos.</w:t>
      </w:r>
    </w:p>
    <w:bookmarkEnd w:id="51"/>
    <w:bookmarkStart w:id="54"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v2.0.1 de GitHub (</w:t>
      </w:r>
      <w:hyperlink r:id="rId52">
        <w:r>
          <w:rPr>
            <w:rStyle w:val="Hyperlink"/>
          </w:rPr>
          <w:t xml:space="preserve">https://github.com/sanchezmartin093-code/Incendios_PY/releases/tag/v2.0.1</w:t>
        </w:r>
      </w:hyperlink>
      <w:r>
        <w:t xml:space="preserve">; asset</w:t>
      </w:r>
      <w:r>
        <w:t xml:space="preserve"> </w:t>
      </w:r>
      <w:r>
        <w:rPr>
          <w:rStyle w:val="VerbatimChar"/>
        </w:rPr>
        <w:t xml:space="preserve">Incendios_PY_data_v2.0.1.zip</w:t>
      </w:r>
      <w:r>
        <w:t xml:space="preserve">) bajo CC BY 4.0, y se documentan bajo el DOI conceptual de datos</w:t>
      </w:r>
      <w:r>
        <w:t xml:space="preserve"> </w:t>
      </w:r>
      <w:hyperlink r:id="rId53">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4"/>
    <w:bookmarkStart w:id="55"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5"/>
    <w:bookmarkStart w:id="56"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6"/>
    <w:bookmarkStart w:id="57"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7"/>
    <w:bookmarkStart w:id="58"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8"/>
    <w:bookmarkStart w:id="59"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59"/>
    <w:bookmarkStart w:id="64"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0">
        <w:r>
          <w:rPr>
            <w:rStyle w:val="Hyperlink"/>
          </w:rPr>
          <w:t xml:space="preserve">https://github.com/sanchezmartin093-code/Incendios_PY</w:t>
        </w:r>
      </w:hyperlink>
      <w:r>
        <w:br/>
      </w:r>
      <w:r>
        <w:rPr>
          <w:b/>
          <w:bCs/>
        </w:rPr>
        <w:t xml:space="preserve">DOI de versión del código:</w:t>
      </w:r>
      <w:r>
        <w:t xml:space="preserve"> </w:t>
      </w:r>
      <w:hyperlink r:id="rId61">
        <w:r>
          <w:rPr>
            <w:rStyle w:val="Hyperlink"/>
          </w:rPr>
          <w:t xml:space="preserve">10.5281/zenodo.23718675</w:t>
        </w:r>
      </w:hyperlink>
      <w:r>
        <w:br/>
      </w:r>
      <w:r>
        <w:rPr>
          <w:b/>
          <w:bCs/>
        </w:rPr>
        <w:t xml:space="preserve">DOI de versión de los datos:</w:t>
      </w:r>
      <w:r>
        <w:t xml:space="preserve"> </w:t>
      </w:r>
      <w:hyperlink r:id="rId62">
        <w:r>
          <w:rPr>
            <w:rStyle w:val="Hyperlink"/>
          </w:rPr>
          <w:t xml:space="preserve">10.5281/zenodo.23718676</w:t>
        </w:r>
      </w:hyperlink>
      <w:r>
        <w:br/>
      </w:r>
      <w:r>
        <w:rPr>
          <w:b/>
          <w:bCs/>
        </w:rPr>
        <w:t xml:space="preserve">DOI conceptual del código:</w:t>
      </w:r>
      <w:r>
        <w:t xml:space="preserve"> </w:t>
      </w:r>
      <w:hyperlink r:id="rId63">
        <w:r>
          <w:rPr>
            <w:rStyle w:val="Hyperlink"/>
          </w:rPr>
          <w:t xml:space="preserve">10.5281/zenodo.23675104</w:t>
        </w:r>
      </w:hyperlink>
      <w:r>
        <w:br/>
      </w:r>
      <w:r>
        <w:rPr>
          <w:b/>
          <w:bCs/>
        </w:rPr>
        <w:t xml:space="preserve">DOI conceptual de los datos:</w:t>
      </w:r>
      <w:r>
        <w:t xml:space="preserve"> </w:t>
      </w:r>
      <w:hyperlink r:id="rId53">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4"/>
    <w:bookmarkStart w:id="115" w:name="referencias"/>
    <w:p>
      <w:pPr>
        <w:pStyle w:val="Heading1"/>
      </w:pPr>
      <w:r>
        <w:t xml:space="preserve">Referencias</w:t>
      </w:r>
    </w:p>
    <w:bookmarkStart w:id="114" w:name="refs"/>
    <w:bookmarkStart w:id="66"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5">
        <w:r>
          <w:rPr>
            <w:rStyle w:val="Hyperlink"/>
          </w:rPr>
          <w:t xml:space="preserve">https://doi.org/10.3390/rs10091438</w:t>
        </w:r>
      </w:hyperlink>
    </w:p>
    <w:bookmarkEnd w:id="66"/>
    <w:bookmarkStart w:id="6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7">
        <w:r>
          <w:rPr>
            <w:rStyle w:val="Hyperlink"/>
          </w:rPr>
          <w:t xml:space="preserve">https://doi.org/10.3390/s20226442</w:t>
        </w:r>
      </w:hyperlink>
    </w:p>
    <w:bookmarkEnd w:id="68"/>
    <w:bookmarkStart w:id="70"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9">
        <w:r>
          <w:rPr>
            <w:rStyle w:val="Hyperlink"/>
          </w:rPr>
          <w:t xml:space="preserve">https://doi.org/10.1111/gcb.13521</w:t>
        </w:r>
      </w:hyperlink>
    </w:p>
    <w:bookmarkEnd w:id="70"/>
    <w:bookmarkStart w:id="72"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1">
        <w:r>
          <w:rPr>
            <w:rStyle w:val="Hyperlink"/>
          </w:rPr>
          <w:t xml:space="preserve">https://doi.org/10.1111/j.2007.0906-7590.05171.x</w:t>
        </w:r>
      </w:hyperlink>
    </w:p>
    <w:bookmarkEnd w:id="72"/>
    <w:bookmarkStart w:id="7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3">
        <w:r>
          <w:rPr>
            <w:rStyle w:val="Hyperlink"/>
          </w:rPr>
          <w:t xml:space="preserve">https://doi.org/10.1071/WF08187</w:t>
        </w:r>
      </w:hyperlink>
    </w:p>
    <w:bookmarkEnd w:id="74"/>
    <w:bookmarkStart w:id="76"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5">
        <w:r>
          <w:rPr>
            <w:rStyle w:val="Hyperlink"/>
          </w:rPr>
          <w:t xml:space="preserve">https://doi.org/10.1126/science.1244693</w:t>
        </w:r>
      </w:hyperlink>
    </w:p>
    <w:bookmarkEnd w:id="76"/>
    <w:bookmarkStart w:id="78"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7">
        <w:r>
          <w:rPr>
            <w:rStyle w:val="Hyperlink"/>
          </w:rPr>
          <w:t xml:space="preserve">https://doi.org/10.1139/er-2020-0019</w:t>
        </w:r>
      </w:hyperlink>
    </w:p>
    <w:bookmarkEnd w:id="78"/>
    <w:bookmarkStart w:id="80"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9">
        <w:r>
          <w:rPr>
            <w:rStyle w:val="Hyperlink"/>
          </w:rPr>
          <w:t xml:space="preserve">https://doi.org/10.1038/ncomms8537</w:t>
        </w:r>
      </w:hyperlink>
    </w:p>
    <w:bookmarkEnd w:id="80"/>
    <w:bookmarkStart w:id="81"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1"/>
    <w:bookmarkStart w:id="83"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2">
        <w:r>
          <w:rPr>
            <w:rStyle w:val="Hyperlink"/>
          </w:rPr>
          <w:t xml:space="preserve">https://doi.org/10.2307/1939924</w:t>
        </w:r>
      </w:hyperlink>
    </w:p>
    <w:bookmarkEnd w:id="83"/>
    <w:bookmarkStart w:id="85"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4">
        <w:r>
          <w:rPr>
            <w:rStyle w:val="Hyperlink"/>
          </w:rPr>
          <w:t xml:space="preserve">https://doi.org/10.1038/s42256-019-0138-9</w:t>
        </w:r>
      </w:hyperlink>
    </w:p>
    <w:bookmarkEnd w:id="85"/>
    <w:bookmarkStart w:id="87"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6">
        <w:r>
          <w:rPr>
            <w:rStyle w:val="Hyperlink"/>
          </w:rPr>
          <w:t xml:space="preserve">https://chaco.mapbiomas.org/</w:t>
        </w:r>
      </w:hyperlink>
      <w:r>
        <w:t xml:space="preserve">.</w:t>
      </w:r>
    </w:p>
    <w:bookmarkEnd w:id="87"/>
    <w:bookmarkStart w:id="89"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88">
        <w:r>
          <w:rPr>
            <w:rStyle w:val="Hyperlink"/>
          </w:rPr>
          <w:t xml:space="preserve">https://doi.org/10.5194/essd-13-4349-2021</w:t>
        </w:r>
      </w:hyperlink>
    </w:p>
    <w:bookmarkEnd w:id="89"/>
    <w:bookmarkStart w:id="91"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90">
        <w:r>
          <w:rPr>
            <w:rStyle w:val="Hyperlink"/>
          </w:rPr>
          <w:t xml:space="preserve">https://doi.org/10.1145/1102351.1102430</w:t>
        </w:r>
      </w:hyperlink>
    </w:p>
    <w:bookmarkEnd w:id="91"/>
    <w:bookmarkStart w:id="93"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92">
        <w:r>
          <w:rPr>
            <w:rStyle w:val="Hyperlink"/>
          </w:rPr>
          <w:t xml:space="preserve">https://doi.org/10.1016/j.pecon.2021.06.005</w:t>
        </w:r>
      </w:hyperlink>
    </w:p>
    <w:bookmarkEnd w:id="93"/>
    <w:bookmarkStart w:id="9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4"/>
    <w:bookmarkStart w:id="96"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5">
        <w:r>
          <w:rPr>
            <w:rStyle w:val="Hyperlink"/>
          </w:rPr>
          <w:t xml:space="preserve">https://doi.org/10.1038/s41467-020-18321-y</w:t>
        </w:r>
      </w:hyperlink>
    </w:p>
    <w:bookmarkEnd w:id="96"/>
    <w:bookmarkStart w:id="98"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7">
        <w:r>
          <w:rPr>
            <w:rStyle w:val="Hyperlink"/>
          </w:rPr>
          <w:t xml:space="preserve">https://doi.org/10.1145/3299869.3320212</w:t>
        </w:r>
      </w:hyperlink>
    </w:p>
    <w:bookmarkEnd w:id="98"/>
    <w:bookmarkStart w:id="100"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9">
        <w:r>
          <w:rPr>
            <w:rStyle w:val="Hyperlink"/>
          </w:rPr>
          <w:t xml:space="preserve">https://doi.org/10.1111/ecog.02881</w:t>
        </w:r>
      </w:hyperlink>
    </w:p>
    <w:bookmarkEnd w:id="100"/>
    <w:bookmarkStart w:id="102"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01">
        <w:r>
          <w:rPr>
            <w:rStyle w:val="Hyperlink"/>
          </w:rPr>
          <w:t xml:space="preserve">https://doi.org/10.5772/28441</w:t>
        </w:r>
      </w:hyperlink>
    </w:p>
    <w:bookmarkEnd w:id="102"/>
    <w:bookmarkStart w:id="104"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3">
        <w:r>
          <w:rPr>
            <w:rStyle w:val="Hyperlink"/>
          </w:rPr>
          <w:t xml:space="preserve">https://doi.org/10.1016/j.rse.2013.12.008</w:t>
        </w:r>
      </w:hyperlink>
    </w:p>
    <w:bookmarkEnd w:id="104"/>
    <w:bookmarkStart w:id="106"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5">
        <w:r>
          <w:rPr>
            <w:rStyle w:val="Hyperlink"/>
          </w:rPr>
          <w:t xml:space="preserve">http://queimadas.dgi.inpe.br</w:t>
        </w:r>
      </w:hyperlink>
    </w:p>
    <w:bookmarkEnd w:id="106"/>
    <w:bookmarkStart w:id="108"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7">
        <w:r>
          <w:rPr>
            <w:rStyle w:val="Hyperlink"/>
          </w:rPr>
          <w:t xml:space="preserve">https://doi.org/10.5558/tfc65258-4</w:t>
        </w:r>
      </w:hyperlink>
    </w:p>
    <w:bookmarkEnd w:id="108"/>
    <w:bookmarkStart w:id="110"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09">
        <w:r>
          <w:rPr>
            <w:rStyle w:val="Hyperlink"/>
          </w:rPr>
          <w:t xml:space="preserve">https://doi.org/10.2307/143141</w:t>
        </w:r>
      </w:hyperlink>
    </w:p>
    <w:bookmarkEnd w:id="110"/>
    <w:bookmarkStart w:id="112"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11">
        <w:r>
          <w:rPr>
            <w:rStyle w:val="Hyperlink"/>
          </w:rPr>
          <w:t xml:space="preserve">https://doi.org/10.1016/j.jaridenv.2014.11.009</w:t>
        </w:r>
      </w:hyperlink>
    </w:p>
    <w:bookmarkEnd w:id="112"/>
    <w:bookmarkStart w:id="113"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5" Target="http://queimadas.dgi.inpe.br" TargetMode="External" /><Relationship Type="http://schemas.openxmlformats.org/officeDocument/2006/relationships/hyperlink" Id="rId86" Target="https://chaco.mapbiomas.org/" TargetMode="External" /><Relationship Type="http://schemas.openxmlformats.org/officeDocument/2006/relationships/hyperlink" Id="rId111" Target="https://doi.org/10.1016/j.jaridenv.2014.11.009" TargetMode="External" /><Relationship Type="http://schemas.openxmlformats.org/officeDocument/2006/relationships/hyperlink" Id="rId92" Target="https://doi.org/10.1016/j.pecon.2021.06.005" TargetMode="External" /><Relationship Type="http://schemas.openxmlformats.org/officeDocument/2006/relationships/hyperlink" Id="rId103" Target="https://doi.org/10.1016/j.rse.2013.12.008" TargetMode="External" /><Relationship Type="http://schemas.openxmlformats.org/officeDocument/2006/relationships/hyperlink" Id="rId79" Target="https://doi.org/10.1038/ncomms8537" TargetMode="External" /><Relationship Type="http://schemas.openxmlformats.org/officeDocument/2006/relationships/hyperlink" Id="rId95" Target="https://doi.org/10.1038/s41467-020-18321-y" TargetMode="External" /><Relationship Type="http://schemas.openxmlformats.org/officeDocument/2006/relationships/hyperlink" Id="rId84" Target="https://doi.org/10.1038/s42256-019-0138-9" TargetMode="External" /><Relationship Type="http://schemas.openxmlformats.org/officeDocument/2006/relationships/hyperlink" Id="rId73" Target="https://doi.org/10.1071/WF08187" TargetMode="External" /><Relationship Type="http://schemas.openxmlformats.org/officeDocument/2006/relationships/hyperlink" Id="rId99"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90" Target="https://doi.org/10.1145/1102351.1102430" TargetMode="External" /><Relationship Type="http://schemas.openxmlformats.org/officeDocument/2006/relationships/hyperlink" Id="rId97" Target="https://doi.org/10.1145/3299869.3320212" TargetMode="External" /><Relationship Type="http://schemas.openxmlformats.org/officeDocument/2006/relationships/hyperlink" Id="rId10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88" Target="https://doi.org/10.5194/essd-13-4349-2021"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107" Target="https://doi.org/10.5558/tfc65258-4" TargetMode="External" /><Relationship Type="http://schemas.openxmlformats.org/officeDocument/2006/relationships/hyperlink" Id="rId101"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105" Target="http://queimadas.dgi.inpe.br" TargetMode="External" /><Relationship Type="http://schemas.openxmlformats.org/officeDocument/2006/relationships/hyperlink" Id="rId86" Target="https://chaco.mapbiomas.org/" TargetMode="External" /><Relationship Type="http://schemas.openxmlformats.org/officeDocument/2006/relationships/hyperlink" Id="rId111" Target="https://doi.org/10.1016/j.jaridenv.2014.11.009" TargetMode="External" /><Relationship Type="http://schemas.openxmlformats.org/officeDocument/2006/relationships/hyperlink" Id="rId92" Target="https://doi.org/10.1016/j.pecon.2021.06.005" TargetMode="External" /><Relationship Type="http://schemas.openxmlformats.org/officeDocument/2006/relationships/hyperlink" Id="rId103" Target="https://doi.org/10.1016/j.rse.2013.12.008" TargetMode="External" /><Relationship Type="http://schemas.openxmlformats.org/officeDocument/2006/relationships/hyperlink" Id="rId79" Target="https://doi.org/10.1038/ncomms8537" TargetMode="External" /><Relationship Type="http://schemas.openxmlformats.org/officeDocument/2006/relationships/hyperlink" Id="rId95" Target="https://doi.org/10.1038/s41467-020-18321-y" TargetMode="External" /><Relationship Type="http://schemas.openxmlformats.org/officeDocument/2006/relationships/hyperlink" Id="rId84" Target="https://doi.org/10.1038/s42256-019-0138-9" TargetMode="External" /><Relationship Type="http://schemas.openxmlformats.org/officeDocument/2006/relationships/hyperlink" Id="rId73" Target="https://doi.org/10.1071/WF08187" TargetMode="External" /><Relationship Type="http://schemas.openxmlformats.org/officeDocument/2006/relationships/hyperlink" Id="rId99"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90" Target="https://doi.org/10.1145/1102351.1102430" TargetMode="External" /><Relationship Type="http://schemas.openxmlformats.org/officeDocument/2006/relationships/hyperlink" Id="rId97" Target="https://doi.org/10.1145/3299869.3320212" TargetMode="External" /><Relationship Type="http://schemas.openxmlformats.org/officeDocument/2006/relationships/hyperlink" Id="rId10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88" Target="https://doi.org/10.5194/essd-13-4349-2021"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8675" TargetMode="External" /><Relationship Type="http://schemas.openxmlformats.org/officeDocument/2006/relationships/hyperlink" Id="rId62" Target="https://doi.org/10.5281/zenodo.23718676" TargetMode="External" /><Relationship Type="http://schemas.openxmlformats.org/officeDocument/2006/relationships/hyperlink" Id="rId107" Target="https://doi.org/10.5558/tfc65258-4" TargetMode="External" /><Relationship Type="http://schemas.openxmlformats.org/officeDocument/2006/relationships/hyperlink" Id="rId101"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2026-10-28T15:23:19Z</dcterms:created>
  <dcterms:modified xsi:type="dcterms:W3CDTF">2026-10-28T15:23:19Z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