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p>
      <w:pPr>
        <w:pStyle w:val="Subtitle"/>
      </w:pPr>
      <w:r>
        <w:t xml:space="preserve">Un marco computacional reproducible para el desacoplamiento y benchmarking de ignición y propagación de incendios en el Gran Chaco (2018–2025)</w:t>
      </w:r>
    </w:p>
    <w:p>
      <w:pPr>
        <w:pStyle w:val="Date"/>
      </w:pPr>
      <w:r>
        <w:t xml:space="preserve">2026-10-28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Un marco computacional reproducible para el desacoplamiento y benchmarking de ignición y propagación de incendios en el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Targets D2, inferencia con gating y fallback M2/M3, y benchmark abierto frente a Canadian FWI e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A reproducible computational framework for decoupled wildfire ignition and propagation benchmarking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D2 targets, M3/M2 inference and an open benchmark against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Reproducible Decoupled Wildfire Benchmarking in the Gran Chaco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 / Corresponding author: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Dirección postal / Postal address:</w:t>
      </w:r>
      <w:r>
        <w:t xml:space="preserve"> </w:t>
      </w:r>
      <w:r>
        <w:t xml:space="preserve">Asunción, Paraguay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Teléfono / Telephone:</w:t>
      </w:r>
      <w:r>
        <w:t xml:space="preserve"> </w:t>
      </w:r>
      <w:r>
        <w:t xml:space="preserve">+595 971 907 727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formally separates primary ignition from tactical fire spread.</w:t>
      </w:r>
      <w:r>
        <w:t xml:space="preserve"> </w:t>
      </w:r>
      <w:r>
        <w:t xml:space="preserve">(61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Gated M3/M2 inference links calibration, spatial blocks and cost-loss.</w:t>
      </w:r>
      <w:r>
        <w:t xml:space="preserve"> </w:t>
      </w:r>
      <w:r>
        <w:t xml:space="preserve">(69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M3 outperforms full Canadian FWI and INPE under the same retrospective D2 test.</w:t>
      </w:r>
      <w:r>
        <w:t xml:space="preserve"> </w:t>
      </w:r>
      <w:r>
        <w:t xml:space="preserve">(71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Spatial block holdout shows where the hybrid model does not transfer.</w:t>
      </w:r>
      <w:r>
        <w:t xml:space="preserve"> </w:t>
      </w:r>
      <w:r>
        <w:t xml:space="preserve">(70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National inference runs in 3.47 s and 2.21 GB peak RAM on ARM64.</w:t>
      </w:r>
      <w:r>
        <w:t xml:space="preserve"> </w:t>
      </w:r>
      <w:r>
        <w:t xml:space="preserve">(62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FirstParagraph"/>
      </w:pPr>
      <w:r>
        <w:drawing>
          <wp:inline>
            <wp:extent cx="5334000" cy="211699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graphical_abstrac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6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abstract.</w:t>
      </w:r>
      <w:r>
        <w:t xml:space="preserve"> </w:t>
      </w:r>
      <w:r>
        <w:t xml:space="preserve">Decoupled D2 targets, M3/M2 inference, causal t-1 propagation and a retrospective benchmark against FWI and INPE. The visual uses only current, traceable results.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con aprendizaje automático sufre a menudo fugas espaciales y una transferibilidad limitada de los índices boreales a biomas subtropicales. Presentamos D2, un operador de objetivos computacional que separa formalmente la ignición primaria de la propagación táctica, y un marco de inferencia con gating y evaluación que hace explícitos la construcción del objetivo, el control de fuga y la comparación de modelos. D2 define la ignición como fuego en el día t sin fuego t-1 a menos de 25 km y sin fuego en la misma celda en los 10 días previos; la propagación se evalúa a menos de 25 km de un fuego t-1. Un gate biofísico elimina celdas-día no combustibles y húmedas. Un modelo híbrido LightGBM (M3) predice ignición sin insumos de fuego t-1, con M2 como fallback para celdas sin historia y M1 como baseline biofísico. En validación 2023, M3 alcanza ROC-AUC 0.7844/0.7628 (Chaco/Oriental), frente a 0.7817/0.7496 de M2; el baseline biofísico M1 se reporta en la Tabla S16 del suplemento. En bloques espaciales de desarrollo 2023, M2 es el más robusto (0.6773/0.7470) y M1 no supera a M2 en celdas sin historia, por lo que M1 se rechaza como fallback operativo (Tablas S8 y S16 del suplemento). Un holdout independiente de bloques de confirmación 2023 retuvo a M2 como el mejor modelo (0.6871/0.6621), por delante de M3 (0.6757/0.6344) y M1 (0.6435/0.6388). En el test retrospectivo 2024–2025, M3 alcanza 0.8021/0.7534 frente a 0.5173/0.5564 del FWI canadiense y 0.5389/0.4990 del INPE; la propagación alcanza 0.9039/0.7859. La precisión poblacional de ignición es solo 0.082 %/0.198 %, por lo que el sistema es una herramienta de nowcast y priorización, no un sistema de alerta autónomo. El test 2024–2025 ya fue observado y se reporta como retrospectivo, no como ciego. La contribución computacional es el operador D2, la política de inferencia con gating y un arnés de evaluación reutilizable, publicado como software abierto; el aprendiz es una elección de implementación, no la novedad.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reproducibilidad; validación espacial; LightGBM; Gran Chaco.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Wildfire machine learning often suffers from spatial leakage and from the limited transferability of boreal fire-weather indices to subtropical biomes. We introduce D2, a computational target operator that formally separates primary ignition from tactical propagation, and a gated inference and evaluation framework that makes target construction, leakage control and model comparison explicit. D2 defines ignition as fire at day t with no t-1 fire within 25 km and no same-cell fire in the previous 10 days; propagation is evaluated within 25 km of a t-1 fire. A biophysical gate removes non-combustible and wet cell-days. A hybrid LightGBM model (M3) predicts ignition without t-1 fire inputs, with M2 as the fallback for cells without history and M1 as a biophysical baseline. In 2023 validation, M3 reaches ROC-AUC 0.7844/0.7628 (Chaco/Oriental), versus 0.7817/0.7496 for M2; the M1 biophysical baseline is reported in Supplementary Table S16. In 2023 development spatial blocks, M2 is the most robust model (0.6773/0.7470), and M1 does not outperform M2 on cells without history, so M1 is rejected as an operational fallback (Supplementary Tables S8 and S16). An independent 2023 confirmation-block holdout retained M2 as the best model (0.6871/0.6621) over M3 (0.6757/0.6344) and M1 (0.6435/0.6388). On the retrospective 2024–2025 test, M3 reaches 0.8021/0.7534 versus 0.5173/0.5564 for full Canadian FWI and 0.5389/0.4990 for INPE; propagation reaches 0.9039/0.7859. Population-level ignition precision is only 0.082 %/0.198 %, so the system is a nowcast and prioritisation tool, not a stand-alone warning system. The 2024–2025 test was already observed and is reported as retrospective, not blind. The computational contribution is the D2 operator, the gated inference policy and a reusable evaluation harness released as open software; the learner is an implementation choice, not the novelty.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nowcasting; GeoAI; reproducibility; spatial cross-validation; LightGBM; Gran Chaco.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2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3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Versión del release:</w:t>
      </w:r>
      <w:r>
        <w:t xml:space="preserve"> </w:t>
      </w:r>
      <w:r>
        <w:t xml:space="preserve">2.0.1 (2026-10-28)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del Código:</w:t>
      </w:r>
      <w:r>
        <w:t xml:space="preserve"> </w:t>
      </w:r>
      <w:hyperlink r:id="rId21">
        <w:r>
          <w:rPr>
            <w:rStyle w:val="Hyperlink"/>
          </w:rPr>
          <w:t xml:space="preserve">10.5281/zenodo.23675104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 los Datos:</w:t>
      </w:r>
      <w:r>
        <w:t xml:space="preserve"> </w:t>
      </w:r>
      <w:hyperlink r:id="rId22">
        <w:r>
          <w:rPr>
            <w:rStyle w:val="Hyperlink"/>
          </w:rPr>
          <w:t xml:space="preserve">10.5281/zenodo.23675278</w:t>
        </w:r>
      </w:hyperlink>
    </w:p>
    <w:bookmarkEnd w:id="23"/>
    <w:bookmarkStart w:id="28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4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5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usan mapas anuales de MapBiomas Colección 2 (2017–2023), unidos por año previo.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Pérdida de cobertura arbórea:</w:t>
      </w:r>
      <w:r>
        <w:t xml:space="preserve"> </w:t>
      </w:r>
      <w:r>
        <w:t xml:space="preserve">Hansen Global Forest Change GFC-2025 v1.13 (</w:t>
      </w:r>
      <w:hyperlink r:id="rId26">
        <w:r>
          <w:rPr>
            <w:rStyle w:val="Hyperlink"/>
          </w:rPr>
          <w:t xml:space="preserve">earthenginepartners.appspot.com</w:t>
        </w:r>
      </w:hyperlink>
      <w:r>
        <w:t xml:space="preserve">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Límites cartográficos nacionales:</w:t>
      </w:r>
      <w:r>
        <w:t xml:space="preserve"> </w:t>
      </w:r>
      <w:r>
        <w:t xml:space="preserve">Marco geoBoundaries ADM0 y ADM1 (</w:t>
      </w:r>
      <w:hyperlink r:id="rId27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 </w:t>
      </w:r>
      <w:r>
        <w:t xml:space="preserve">y están disponibles en el release v2.0.1 de GitHub bajo licencia CC BY 4.0, además del DOI conceptual de datos (</w:t>
      </w:r>
      <w:hyperlink r:id="rId22">
        <w:r>
          <w:rPr>
            <w:rStyle w:val="Hyperlink"/>
          </w:rPr>
          <w:t xml:space="preserve">10.5281/zenodo.23675278</w:t>
        </w:r>
      </w:hyperlink>
      <w:r>
        <w:t xml:space="preserve">).</w:t>
      </w:r>
    </w:p>
    <w:bookmarkEnd w:id="28"/>
    <w:bookmarkStart w:id="29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9"/>
    <w:bookmarkStart w:id="30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30"/>
    <w:bookmarkStart w:id="31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4" TargetMode="External" /><Relationship Type="http://schemas.openxmlformats.org/officeDocument/2006/relationships/hyperlink" Id="rId22" Target="https://doi.org/10.5281/zenodo.23675278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storage.googleapis.com/earthenginepartners-hansen/GFC-2025-v1.13/" TargetMode="External" /><Relationship Type="http://schemas.openxmlformats.org/officeDocument/2006/relationships/hyperlink" Id="rId27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4" TargetMode="External" /><Relationship Type="http://schemas.openxmlformats.org/officeDocument/2006/relationships/hyperlink" Id="rId22" Target="https://doi.org/10.5281/zenodo.23675278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storage.googleapis.com/earthenginepartners-hansen/GFC-2025-v1.13/" TargetMode="External" /><Relationship Type="http://schemas.openxmlformats.org/officeDocument/2006/relationships/hyperlink" Id="rId27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dc:language>es</dc:language>
  <cp:keywords/>
  <dcterms:created xsi:type="dcterms:W3CDTF">2026-10-28T13:52:46Z</dcterms:created>
  <dcterms:modified xsi:type="dcterms:W3CDTF">2026-10-28T13:52:46Z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2026-10-28</vt:lpwstr>
  </property>
  <property fmtid="{D5CDD505-2E9C-101B-9397-08002B2CF9AE}" pid="4" name="date-modified">
    <vt:lpwstr>2026-10-28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Un marco computacional reproducible para el desacoplamiento y benchmarking de ignición y propagación de incendios en el Gran Chaco (2018–2025)</vt:lpwstr>
  </property>
  <property fmtid="{D5CDD505-2E9C-101B-9397-08002B2CF9AE}" pid="10" name="toc-title">
    <vt:lpwstr>Tabla de contenidos</vt:lpwstr>
  </property>
</Properties>
</file>