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0.5059/0.5611 del Canadian Forest Fire Weather Index (FWI) y 0.5266/0.4973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y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y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Con ponderación poblacional, M2 supera ligeramente a M3 en ROC-AUC poblacional del Chaco (0.8078 vs. 0.8059) y en precisión (0.090 % vs. 0.082 %), mientras que M3 lidera en la Región Oriental (0.7627 vs. 0.7549).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+0.2963 en el Chaco y +0.1922 en la Región Oriental, y al INPE por +0.2756 y +0.2561.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3.1285 y 0.0364 en el Chaco y 20.4720 y 0.0596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0.5059/0.5611 y el INPE de 0.5266/0.4973;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0.4976/0.5497 frente a 0.5266/0.4973 con A local (ΔROC = −0.0290/+0.0524;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0.8018/0.7548 frente a 0.8021/0.7534 de M3 (Δ = −0.0003/+0.0015; p = 0.612/0.001;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(0.4988/0.5528;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lo redujo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(0.4708) y el INPE alcanzó 0.5817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0.1/2.8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tiene valor de decisión positivo solo con α = 0.0001 en el Chaco (V = 0.070) y α = 0.0005 en Oriental (V = 0.077); INPE no es positivo en ningún α (V ≤ 0). Incluso en esa ventana estrecha, FWI queda muy por debajo de M3 (0.372/0.313).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lo reduce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0.5059/0.5611) y al Risco de Fogo del INPE (0.5266/0.4973),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(0.4708) y el INPE alcanzó 0.5817.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v2.1.0 de GitHub (</w:t>
      </w:r>
      <w:hyperlink r:id="rId53">
        <w:r>
          <w:rPr>
            <w:rStyle w:val="Hyperlink"/>
          </w:rPr>
          <w:t xml:space="preserve">https://github.com/sanchezmartin093-code/Incendios_PY/releases/tag/v2.1.0</w:t>
        </w:r>
      </w:hyperlink>
      <w:r>
        <w:t xml:space="preserve">; asset</w:t>
      </w:r>
      <w:r>
        <w:t xml:space="preserve"> </w:t>
      </w:r>
      <w:r>
        <w:rPr>
          <w:rStyle w:val="VerbatimChar"/>
        </w:rPr>
        <w:t xml:space="preserve">Incendios_PY_data_v2.1.0.zip</w:t>
      </w:r>
      <w:r>
        <w:t xml:space="preserve">) bajo CC BY 4.0, y se documentan bajo el DOI conceptual de datos</w:t>
      </w:r>
      <w:r>
        <w:t xml:space="preserve"> </w:t>
      </w:r>
      <w:hyperlink r:id="rId54">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2"/>
    <w:bookmarkStart w:id="84" w:name="ref-legendre1993"/>
    <w:p>
      <w:pPr>
        <w:pStyle w:val="Bibliography"/>
      </w:pPr>
      <w:r>
        <w:t xml:space="preserve">Legendre, P., 1993. Spatial autocorrelation: trouble or new paradigm? Ecology 74,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7">
        <w:r>
          <w:rPr>
            <w:rStyle w:val="Hyperlink"/>
          </w:rPr>
          <w:t xml:space="preserve">https://chaco.mapbiomas.org/</w:t>
        </w:r>
      </w:hyperlink>
      <w:r>
        <w:t xml:space="preserve"> </w:t>
      </w:r>
      <w:r>
        <w:t xml:space="preserve">(accedido 10.28.2026).</w:t>
      </w:r>
    </w:p>
    <w:bookmarkEnd w:id="88"/>
    <w:bookmarkStart w:id="9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Caruana, R., 2005. Predicting good probabilities with supervised learning, en: Proceedings of the 22nd International Conference on Machine Learning (ICML). pp.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 en: Advances in Large Margin Classifiers. MIT Press, pp. 61-74.</w:t>
      </w:r>
    </w:p>
    <w:bookmarkEnd w:id="95"/>
    <w:bookmarkStart w:id="97"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Mühleisen, H., 2019. DuckDB: an Embeddable Analytical Database, en: Proceedings of the 2019 International Conference on Management of Data (SIGMOD). pp.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6">
        <w:r>
          <w:rPr>
            <w:rStyle w:val="Hyperlink"/>
          </w:rPr>
          <w:t xml:space="preserve">http://queimadas.dgi.inpe.br</w:t>
        </w:r>
      </w:hyperlink>
      <w:r>
        <w:t xml:space="preserve"> </w:t>
      </w:r>
      <w:r>
        <w:t xml:space="preserve">(accedido 10.28.2026).</w:t>
      </w:r>
    </w:p>
    <w:bookmarkEnd w:id="107"/>
    <w:bookmarkStart w:id="109"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2026-10-29T02:32:26Z</dcterms:created>
  <dcterms:modified xsi:type="dcterms:W3CDTF">2026-10-29T02:32:26Z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