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Desacoplando el Peligro Biofísico de Ignición y la Propagación Táctica de Incendios Forestales en el Gran Chaco mediante GeoAI Multiescala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Desacoplando el peligro biofísico de ignición y la propagación táctica de incendios forestales en el Gran Chaco mediante GeoAI multiescala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Un marco computacional reproducible de dos etapas para el nowcasting diario de peligro y benchmarking internacional frente a full Canadian FWI y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Decoupling Biophysical Ignition Hazard and Tactical Wildfire Propagation in the Gran Chaco via Multiscale GeoAI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A Reproducible Two-Stage Computational Framework for Daily Hazard Nowcasting and International Benchmarking Against full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Decoupled GeoAI Wildfire Hazard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Doble Ciego Anónimo (</w:t>
      </w:r>
      <w:r>
        <w:rPr>
          <w:i/>
          <w:iCs/>
        </w:rPr>
        <w:t xml:space="preserve">Double-Anonymous Peer Review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Two-stage bio-physical gating cuts 39.2% of national cells (89.9% recall).</w:t>
      </w:r>
      <w:r>
        <w:t xml:space="preserve"> </w:t>
      </w:r>
      <w:r>
        <w:t xml:space="preserve">(77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</w:t>
      </w:r>
      <w:r>
        <w:rPr>
          <w:b/>
          <w:bCs/>
        </w:rP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fire spread.</w:t>
      </w:r>
      <w:r>
        <w:t xml:space="preserve"> </w:t>
      </w:r>
      <w:r>
        <w:t xml:space="preserve">(84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(81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20-km negative-sampling buffer and temporal holdout; spatial holdout pending.</w:t>
      </w:r>
      <w:r>
        <w:t xml:space="preserve"> </w:t>
      </w:r>
      <w:r>
        <w:t xml:space="preserve">(74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Zero-copy DuckDB and Polars pipeline predicts 400,006 sovereign cells in &lt;1 s.</w:t>
      </w:r>
      <w:r>
        <w:t xml:space="preserve"> </w:t>
      </w:r>
      <w:r>
        <w:t xml:space="preserve">(81 chars)</w:t>
      </w:r>
    </w:p>
    <w:p>
      <w:r>
        <w:pict>
          <v:rect style="width:0;height:1.5pt" o:hralign="center" o:hrstd="t" o:hr="t"/>
        </w:pict>
      </w:r>
    </w:p>
    <w:bookmarkEnd w:id="12"/>
    <w:bookmarkStart w:id="16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CaptionedFigure"/>
      </w:pPr>
      <w:r>
        <w:drawing>
          <wp:inline>
            <wp:extent cx="5334000" cy="2336234"/>
            <wp:effectExtent b="0" l="0" r="0" t="0"/>
            <wp:docPr descr="Graphical Abstract: Decoupled GeoAI Framework for Operational Wildfire Hazard in Paraguay" title="" id="14" name="Picture"/>
            <a:graphic>
              <a:graphicData uri="http://schemas.openxmlformats.org/drawingml/2006/picture">
                <pic:pic>
                  <pic:nvPicPr>
                    <pic:cNvPr descr="figuras/fig01_arquitectura_impacto_natur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6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Graphical Abstract: Decoupled GeoAI Framework for Operational Wildfire Hazard in Paraguay</w:t>
      </w:r>
    </w:p>
    <w:p>
      <w:r>
        <w:pict>
          <v:rect style="width:0;height:1.5pt" o:hralign="center" o:hrstd="t" o:hr="t"/>
        </w:pict>
      </w:r>
    </w:p>
    <w:bookmarkEnd w:id="16"/>
    <w:bookmarkStart w:id="19" w:name="resumen-abstract-keywords"/>
    <w:p>
      <w:pPr>
        <w:pStyle w:val="Heading1"/>
      </w:pPr>
      <w:r>
        <w:t xml:space="preserve">5. Resumen / Abstract &amp; Keywords</w:t>
      </w:r>
    </w:p>
    <w:bookmarkStart w:id="17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forestales mediante aprendizaje automático enfrenta dos fallas metodológicas: el sesgo de atajo espacial y la dificultad de los índices boreales (como el Canadian FWI) en biomas subtropicales. Presentamos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una arquitectura GeoAI multiescala y desacoplada para Paraguay (400.006 celdas de 1 km², 2018–2025). El gating biofísico reduce el 21,7 % de las celdas-día y retiene el 97,17 % de las detecciones térmicas. Los priors históricos usan corte mensual y ventana móvil de 3 años. El modelo híbrido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combina clima ERA5-Land, MapBiomas real (</w:t>
      </w:r>
      <w:r>
        <w:rPr>
          <w:rStyle w:val="VerbatimChar"/>
        </w:rPr>
        <w:t xml:space="preserve">collection2_2023</w:t>
      </w:r>
      <w:r>
        <w:t xml:space="preserve">), ecotono, corredores antrópicos y priors causales; la propagación táctica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La evaluación sigue la definición D2: ignición primaria sin fuego t-1 en 25 km ni fuego en la celda en 10 días, y propagación dentro de 25 km de un fuego t-1. El test D2 contiene N=1.813.966 celdas-día (376.552 ignición y 1.437.414 propagación).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obtiene ROC-AUC 0,7851/0,7485 (Chaco/Oriental), frente a 0,5185/0,5569 del FWI completo y 0,5386/0,4994 del INPE Risco de Fogo; la propagación alcanza 0,8989/0,7799. Las precisiones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son 27,54 %/29,67 % y 84,94 %/62,42 %; en población caen a 0,062 %/0,206 % y 9,96 %/4,49 %. En holdout espacial, M3 cae a 0,6243/0,5754 y M1 obtiene 0,6338/0,6176: la ventaja híbrida es temporal. El pipeline se midió en ~1,569 s y ~2,18 GB de RAM pico. Es un nowcast/hindcast. La cobertura conformal empírica fue 89,85 %/90,19 % para 90 % y 95,02 %/94,56 % para 95 %.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Gran Chaco; LightGBM; Reanálisis ERA5-Land; NASA FIRMS; Desacoplamiento biofísico; Autocorrelación espacial; Benchmarking internacional.</w:t>
      </w:r>
    </w:p>
    <w:p>
      <w:r>
        <w:pict>
          <v:rect style="width:0;height:1.5pt" o:hralign="center" o:hrstd="t" o:hr="t"/>
        </w:pict>
      </w:r>
    </w:p>
    <w:bookmarkEnd w:id="17"/>
    <w:bookmarkStart w:id="18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Operational wildfire prediction via machine learning faces spatial shortcut learning and the limited transferability of boreal fire-weather indices to subtropical biomes. We present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 decoupled multiscale GeoAI framework for Paraguay (400,006 1-km² cells, 2018–2025). Biophysical gating removes 21.7 % of cell-days while retaining 97.17 % of thermal detections. Historical priors use a monthly cutoff and a rolling 3-year window. The hybrid model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combines ERA5-Land weather, real MapBiomas (</w:t>
      </w:r>
      <w:r>
        <w:rPr>
          <w:rStyle w:val="VerbatimChar"/>
        </w:rPr>
        <w:t xml:space="preserve">collection2_2023</w:t>
      </w:r>
      <w:r>
        <w:t xml:space="preserve">), ecotone, anthropogenic corridors and causal priors; tactical propagation uses a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kernel. Evaluation follows D2: primary ignition with no t-1 fire within 25 km and no same-cell fire in 10 days, and propagation within 25 km of a t-1 fire. The D2 test contains N=1,813,966 cell-days (376,552 ignition and 1,437,414 propagation).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ROC-AUC 0.7851/0.7485 (Chaco/Oriental), versus 0.5185/0.5569 for full FWI and 0.5386/0.4994 for INPE; propagation reaches 0.8989/0.7799.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 27.54 %/29.67 % and 84.94 %/62.42 %; population precision drops to 0.062 %/0.206 % and 9.96 %/4.49 %. In spatial holdout, M3 drops to 0.6243/0.5754 while M1 reaches 0.6338/0.6176: the hybrid advantage is temporal. The pipeline measured ~1.569 s and ~2.18 GB peak RAM. It is a nowcast/hindcast. Empirical conformal coverage was 89.85 %/90.19 % for 90 % and 95.02 %/94.56 % for 95 %.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hazard nowcasting; GeoAI; Gran Chaco; LightGBM; ERA5-Land reanalysis; NASA FIRMS; Biophysical decoupling; Spatial autocorrelation; International benchmarking.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9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1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3.11+ / 3.12,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20">
        <w:r>
          <w:rPr>
            <w:rStyle w:val="Hyperlink"/>
          </w:rPr>
          <w:t xml:space="preserve">https://github.com/sanchezmartin093-code/Incendios_PY</w:t>
        </w:r>
      </w:hyperlink>
    </w:p>
    <w:bookmarkEnd w:id="21"/>
    <w:bookmarkStart w:id="25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2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3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soberanos:</w:t>
      </w:r>
      <w:r>
        <w:t xml:space="preserve"> </w:t>
      </w:r>
      <w:r>
        <w:t xml:space="preserve">Marco geoBoundaries ADM0 y ADM1 (</w:t>
      </w:r>
      <w:hyperlink r:id="rId24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se archivan en Zenodo/OSF bajo licencia CC BY 4.0.</w:t>
      </w:r>
    </w:p>
    <w:bookmarkEnd w:id="25"/>
    <w:bookmarkStart w:id="26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6"/>
    <w:bookmarkStart w:id="27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7"/>
    <w:bookmarkStart w:id="28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ds.climate.copernicus.eu/" TargetMode="External" /><Relationship Type="http://schemas.openxmlformats.org/officeDocument/2006/relationships/hyperlink" Id="rId22" Target="https://firms.modaps.eosdis.nasa.gov/" TargetMode="External" /><Relationship Type="http://schemas.openxmlformats.org/officeDocument/2006/relationships/hyperlink" Id="rId20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4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2026-10-26T18:52:14Z</dcterms:created>
  <dcterms:modified xsi:type="dcterms:W3CDTF">2026-10-26T18:52:14Z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Desacoplando el Peligro Biofísico de Ignición y la Propagación Táctica de Incendios Forestales en el Gran Chaco mediante GeoAI Multiescala (2018–2025)</vt:lpwstr>
  </property>
  <property fmtid="{D5CDD505-2E9C-101B-9397-08002B2CF9AE}" pid="10" name="toc-title">
    <vt:lpwstr>Tabla de contenidos</vt:lpwstr>
  </property>
</Properties>
</file>