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 to the Editor-in-Chief</w:t>
      </w:r>
    </w:p>
    <w:p>
      <w:pPr>
        <w:pStyle w:val="Date"/>
      </w:pPr>
      <w:r>
        <w:t xml:space="preserve">2026-10-29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29, 2026</w:t>
      </w:r>
    </w:p>
    <w:p>
      <w:pPr>
        <w:pStyle w:val="BodyText"/>
      </w:pPr>
      <w:r>
        <w:rPr>
          <w:b/>
          <w:bCs/>
        </w:rPr>
        <w:t xml:space="preserve">To:</w:t>
      </w:r>
      <w:r>
        <w:br/>
      </w:r>
      <w:r>
        <w:t xml:space="preserve">The Editors-in-Chief</w:t>
      </w:r>
      <w:r>
        <w:br/>
      </w:r>
      <w:r>
        <w:rPr>
          <w:i/>
          <w:iCs/>
        </w:rPr>
        <w:t xml:space="preserve">Computers &amp; Geosciences</w:t>
      </w:r>
      <w:r>
        <w:br/>
      </w:r>
      <w:r>
        <w:t xml:space="preserve">Elsevier Science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Submission of original research paper titled</w:t>
      </w:r>
      <w:r>
        <w:t xml:space="preserve"> </w:t>
      </w:r>
      <w:r>
        <w:rPr>
          <w:i/>
          <w:iCs/>
        </w:rPr>
        <w:t xml:space="preserve">“A Reproducible Computational Framework for Decoupled Wildfire Ignition and Propagation Benchmarking in the Gran Chaco (2018–2025)”</w:t>
      </w:r>
    </w:p>
    <w:p>
      <w:pPr>
        <w:pStyle w:val="BodyText"/>
      </w:pPr>
      <w:r>
        <w:t xml:space="preserve">Dear Editors-in-Chief,</w:t>
      </w:r>
    </w:p>
    <w:p>
      <w:pPr>
        <w:pStyle w:val="BodyText"/>
      </w:pPr>
      <w:r>
        <w:t xml:space="preserve">Please find enclosed my original research manuscript entitled</w:t>
      </w:r>
      <w:r>
        <w:t xml:space="preserve"> </w:t>
      </w:r>
      <w:r>
        <w:rPr>
          <w:b/>
          <w:bCs/>
        </w:rPr>
        <w:t xml:space="preserve">“A Reproducible Computational Framework for Decoupled Wildfire Ignition and Propagation Benchmarking in the Gran Chaco (2018–2025): D2 Targets, M3/M2 Inference and an Open Benchmark Against Canadian FWI and INPE”</w:t>
      </w:r>
      <w:r>
        <w:t xml:space="preserve">, which I submit for consideration as a</w:t>
      </w:r>
      <w:r>
        <w:t xml:space="preserve"> </w:t>
      </w:r>
      <w:r>
        <w:rPr>
          <w:b/>
          <w:bCs/>
        </w:rPr>
        <w:t xml:space="preserve">Research Paper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.</w:t>
      </w:r>
    </w:p>
    <w:p>
      <w:pPr>
        <w:pStyle w:val="BodyText"/>
      </w:pPr>
      <w:r>
        <w:t xml:space="preserve">The manuscript presents an auditable computational protocol and reproducible software infrastructure. Its central contribution is the formal D2 target operator, the gated M3/M2 inference policy and the open evaluation harness; the learner is deliberately replaceable.</w:t>
      </w:r>
    </w:p>
    <w:bookmarkStart w:id="9" w:name="motivation-and-core-scientific-novelty"/>
    <w:p>
      <w:pPr>
        <w:pStyle w:val="Heading3"/>
      </w:pPr>
      <w:r>
        <w:t xml:space="preserve">Motivation and Core Scientific Novelty</w:t>
      </w:r>
    </w:p>
    <w:p>
      <w:pPr>
        <w:pStyle w:val="FirstParagraph"/>
      </w:pPr>
      <w:r>
        <w:t xml:space="preserve">Operational wildfire forecasting in geoscience machine learning frequently suffers from two pervasive methodological pathologies: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Spatial Shortcut Learning:</w:t>
      </w:r>
      <w:r>
        <w:t xml:space="preserve"> </w:t>
      </w:r>
      <w:r>
        <w:t xml:space="preserve">When models include autoregressive spatial lags without isolating causal mechanisms, gradient-boosted ensembles learn trivial spatial persistence heuristics (</w:t>
      </w:r>
      <w:r>
        <w:rPr>
          <w:i/>
          <w:iCs/>
        </w:rPr>
        <w:t xml:space="preserve">“fire will persist where thermal anomalies already exist”</w:t>
      </w:r>
      <w:r>
        <w:t xml:space="preserve">), resulting in severe false confidence while remaining incapable of anticipating new, spontaneous, or anthropic primary ignitions.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Failure of Canonical Boreal Indices in the Subtropics:</w:t>
      </w:r>
      <w:r>
        <w:t xml:space="preserve"> </w:t>
      </w:r>
      <w:r>
        <w:t xml:space="preserve">Widely deployed operational frameworks—such as the Canadian Forest Fire Weather Index (FWI) used by EFFIS/GWIS and the CPTEC/INPE Risco de Fogo—consistently fail or invert hazard rankings in water-limited subtropical biomes (e.g., the South American Gran Chaco), where vapor pressure deficit (VPD) and non-linear fuel-curing dynamics govern fire risk.</w:t>
      </w:r>
    </w:p>
    <w:p>
      <w:pPr>
        <w:pStyle w:val="BodyText"/>
      </w:pPr>
      <w:r>
        <w:t xml:space="preserve">To address these challenges, I introduce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an open-source computational framework for reproducible decoupled wildfire modeling across</w:t>
      </w:r>
      <w:r>
        <w:t xml:space="preserve"> </w:t>
      </w:r>
      <w:r>
        <w:rPr>
          <w:b/>
          <w:bCs/>
        </w:rPr>
        <w:t xml:space="preserve">400 006 1-km² grid cells</w:t>
      </w:r>
      <w:r>
        <w:t xml:space="preserve"> </w:t>
      </w:r>
      <w:r>
        <w:t xml:space="preserve">over an 8-year multi-annual observation baseline (2018–2025). This horizon is anchored to the multi-sensor VIIRS 375 m constellation (Suomi-NPP, NOAA-20 and NOAA-21), which reduces single-sensor sampling bias across the modeling phases. The framework analytically decouples the operational task into two distinct models: (i)</w:t>
      </w:r>
      <w:r>
        <w:t xml:space="preserve"> </w:t>
      </w:r>
      <w:r>
        <w:rPr>
          <w:b/>
          <w:bCs/>
        </w:rPr>
        <w:t xml:space="preserve">Multiscale Socio-Ecological Hybrid Ignition</w:t>
      </w:r>
      <w:r>
        <w:t xml:space="preserve"> </w:t>
      </w:r>
      <w:r>
        <w:t xml:space="preserve">(M3), guided by physics-based monotonic constraints, ecotone edge gradients, and static anthropogenic priors at 10-km and 25-km scales; and (ii)</w:t>
      </w:r>
      <w:r>
        <w:t xml:space="preserve"> </w:t>
      </w:r>
      <w:r>
        <w:rPr>
          <w:b/>
          <w:bCs/>
        </w:rPr>
        <w:t xml:space="preserve">Tactical Propagation</w:t>
      </w:r>
      <w:r>
        <w:t xml:space="preserve">, driven by a causal spatial contagion kernel at lag t−1.</w:t>
      </w:r>
    </w:p>
    <w:bookmarkEnd w:id="9"/>
    <w:bookmarkStart w:id="10" w:name="X69688a67aa6c464cbd796cd38e62e3faf43da12"/>
    <w:p>
      <w:pPr>
        <w:pStyle w:val="Heading3"/>
      </w:pPr>
      <w:r>
        <w:t xml:space="preserve">Why this Manuscript Fits</w:t>
      </w:r>
      <w:r>
        <w:t xml:space="preserve"> </w:t>
      </w:r>
      <w:r>
        <w:rPr>
          <w:i/>
          <w:iCs/>
        </w:rPr>
        <w:t xml:space="preserve">Computers &amp; Geosciences</w:t>
      </w:r>
    </w:p>
    <w:p>
      <w:pPr>
        <w:pStyle w:val="FirstParagraph"/>
      </w:pPr>
      <w:r>
        <w:t xml:space="preserve">My work sits precisely at the convergence of</w:t>
      </w:r>
      <w:r>
        <w:t xml:space="preserve"> </w:t>
      </w:r>
      <w:r>
        <w:rPr>
          <w:b/>
          <w:bCs/>
        </w:rPr>
        <w:t xml:space="preserve">Computer Science Applications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Earth and Planetary Sciences</w:t>
      </w:r>
      <w:r>
        <w:t xml:space="preserve">. The computational contribution is the D2 target operator, the gated M3/M2 inference policy and a reusable evaluation harness, released as documented software. The learner is replaceable; the novelty lies in the computational contract.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High-Performance Columnar Computational Pipeline:</w:t>
      </w:r>
      <w:r>
        <w:t xml:space="preserve"> </w:t>
      </w:r>
      <w:r>
        <w:t xml:space="preserve">By integrating Apache Arrow, DuckDB, and Polars, the inference engine processes the entire national territory (400 006 km²) in</w:t>
      </w:r>
      <w:r>
        <w:t xml:space="preserve"> </w:t>
      </w:r>
      <w:r>
        <w:rPr>
          <w:b/>
          <w:bCs/>
        </w:rPr>
        <w:t xml:space="preserve">~3.47 seconds</w:t>
      </w:r>
      <w:r>
        <w:t xml:space="preserve"> </w:t>
      </w:r>
      <w:r>
        <w:t xml:space="preserve">on a standard ARM64 machine (~2.21 GB peak RAM), demonstrating that national early-warning systems do not require prohibitive cloud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Physics-Guided Machine Learning (PGML):</w:t>
      </w:r>
      <w:r>
        <w:t xml:space="preserve"> </w:t>
      </w:r>
      <w:r>
        <w:t xml:space="preserve">The framework enforces structural monotonic constraints within LightGBM (+1 for atmospheric dryness and wind pressure, −1 for antecedent rainfall and distance), constraining monotonic responses and reducing counterintuitive artifacts.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and Temporal Control:</w:t>
      </w:r>
      <w:r>
        <w:t xml:space="preserve"> </w:t>
      </w:r>
      <w:r>
        <w:t xml:space="preserve">The study uses the</w:t>
      </w:r>
      <w:r>
        <w:t xml:space="preserve"> </w:t>
      </w:r>
      <w:r>
        <w:rPr>
          <w:b/>
          <w:bCs/>
        </w:rPr>
        <w:t xml:space="preserve">D2 target definition</w:t>
      </w:r>
      <w:r>
        <w:t xml:space="preserve"> </w:t>
      </w:r>
      <w:r>
        <w:t xml:space="preserve">(no t-1 fire within 25 km; no same-cell fire in 10 days) and multi-year out-of-time test partitions (2024–2025). The framework also implements a</w:t>
      </w:r>
      <w:r>
        <w:t xml:space="preserve"> </w:t>
      </w:r>
      <w:r>
        <w:rPr>
          <w:b/>
          <w:bCs/>
        </w:rPr>
        <w:t xml:space="preserve">50-km spatial block holdout with a 20-km buffer</w:t>
      </w:r>
      <w:r>
        <w:t xml:space="preserve">. Priors are causal (monthly cutoff, rolling 3-year window).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Engineering and Reproducibility Standards:</w:t>
      </w:r>
      <w:r>
        <w:t xml:space="preserve"> </w:t>
      </w:r>
      <w:r>
        <w:t xml:space="preserve">The framework is packaged with a complete automated test suite of</w:t>
      </w:r>
      <w:r>
        <w:t xml:space="preserve"> </w:t>
      </w:r>
      <w:r>
        <w:rPr>
          <w:b/>
          <w:bCs/>
        </w:rPr>
        <w:t xml:space="preserve">76 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) running in ≈1 minute, verifying algebraic invariants, physical monotonicity, conformal coverage, and spatial KD-Tree queries. All code and workflows are versioned from raw ingestion (</w:t>
      </w:r>
      <w:r>
        <w:rPr>
          <w:rStyle w:val="VerbatimChar"/>
        </w:rPr>
        <w:t xml:space="preserve">scripts/00_...</w:t>
      </w:r>
      <w:r>
        <w:t xml:space="preserve">) to release and validation outputs (</w:t>
      </w:r>
      <w:r>
        <w:rPr>
          <w:rStyle w:val="VerbatimChar"/>
        </w:rPr>
        <w:t xml:space="preserve">scripts/34_...</w:t>
      </w:r>
      <w:r>
        <w:t xml:space="preserve">) under the permissive MIT License.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Quantitative International Benchmarking:</w:t>
      </w:r>
      <w:r>
        <w:t xml:space="preserve"> </w:t>
      </w:r>
      <w:r>
        <w:t xml:space="preserve">In retrospective temporal testing over 1 813 966 D2 cell-days during 2024–2025, the hybrid ignition layer M3 achieves a ROC-AUC of</w:t>
      </w:r>
      <w:r>
        <w:t xml:space="preserve"> </w:t>
      </w:r>
      <w:r>
        <w:rPr>
          <w:b/>
          <w:bCs/>
        </w:rPr>
        <w:t xml:space="preserve">0.8021</w:t>
      </w:r>
      <w:r>
        <w:t xml:space="preserve"> </w:t>
      </w:r>
      <w:r>
        <w:t xml:space="preserve">in the Gran Chaco and</w:t>
      </w:r>
      <w:r>
        <w:t xml:space="preserve"> </w:t>
      </w:r>
      <w:r>
        <w:rPr>
          <w:b/>
          <w:bCs/>
        </w:rPr>
        <w:t xml:space="preserve">0.7534</w:t>
      </w:r>
      <w:r>
        <w:t xml:space="preserve"> </w:t>
      </w:r>
      <w:r>
        <w:t xml:space="preserve">in the Oriental Region, versus</w:t>
      </w:r>
      <w:r>
        <w:t xml:space="preserve"> </w:t>
      </w:r>
      <w:r>
        <w:rPr>
          <w:b/>
          <w:bCs/>
        </w:rPr>
        <w:t xml:space="preserve">0.5059 / 0.5611</w:t>
      </w:r>
      <w:r>
        <w:t xml:space="preserve"> </w:t>
      </w:r>
      <w:r>
        <w:t xml:space="preserve">for the full Canadian FWI and</w:t>
      </w:r>
      <w:r>
        <w:t xml:space="preserve"> </w:t>
      </w:r>
      <w:r>
        <w:rPr>
          <w:b/>
          <w:bCs/>
        </w:rPr>
        <w:t xml:space="preserve">0.5266 / 0.4973</w:t>
      </w:r>
      <w:r>
        <w:t xml:space="preserve"> </w:t>
      </w:r>
      <w:r>
        <w:t xml:space="preserve">for the INPE. Case-control F0.5 precision is 32.82 % / 30.13 %; after correction to population prevalence (~0.015 % / 0.041 %), operational precision is 0.082 % / 0.198 %. Tactical propagation achieves ROC-AUC</w:t>
      </w:r>
      <w:r>
        <w:t xml:space="preserve"> </w:t>
      </w:r>
      <w:r>
        <w:rPr>
          <w:b/>
          <w:bCs/>
        </w:rPr>
        <w:t xml:space="preserve">0.9039</w:t>
      </w:r>
      <w:r>
        <w:t xml:space="preserve"> </w:t>
      </w:r>
      <w:r>
        <w:t xml:space="preserve">(Chaco) and population precision 9.67 %. The 2023 validation selected M3 for temporal nowcasting and M2 as the operational fallback; M1 was rejected as a fallback. These population-adjusted metrics define the operational benchmark.</w:t>
      </w:r>
    </w:p>
    <w:bookmarkEnd w:id="10"/>
    <w:bookmarkStart w:id="13" w:name="mandatory-declarations"/>
    <w:p>
      <w:pPr>
        <w:pStyle w:val="Heading3"/>
      </w:pPr>
      <w:r>
        <w:t xml:space="preserve">Mandatory 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previously, is not under consideration for publication elsewhere, and its publication has been approved by the author.</w:t>
      </w:r>
    </w:p>
    <w:p>
      <w:pPr>
        <w:pStyle w:val="Compact"/>
        <w:numPr>
          <w:ilvl w:val="0"/>
          <w:numId w:val="1002"/>
        </w:numPr>
      </w:pPr>
      <w:r>
        <w:t xml:space="preserve">All source code and reproduction scripts are openly hosted on GitHub (</w:t>
      </w:r>
      <w:r>
        <w:rPr>
          <w:rStyle w:val="VerbatimChar"/>
        </w:rPr>
        <w:t xml:space="preserve">https://github.com/sanchezmartin093-code/Incendios_PY</w:t>
      </w:r>
      <w:r>
        <w:t xml:space="preserve">). Processed data and trained models are documented with SHA-256 hashes in</w:t>
      </w:r>
      <w:r>
        <w:t xml:space="preserve"> </w:t>
      </w:r>
      <w:r>
        <w:rPr>
          <w:rStyle w:val="VerbatimChar"/>
        </w:rPr>
        <w:t xml:space="preserve">fuentes/MANIFIESTO_DATOS_v3.csv</w:t>
      </w:r>
      <w:r>
        <w:t xml:space="preserve">, archived in the v2.0.1 data release asset (</w:t>
      </w:r>
      <w:r>
        <w:rPr>
          <w:rStyle w:val="VerbatimChar"/>
        </w:rPr>
        <w:t xml:space="preserve">Incendios_PY_data_v2.0.1.zip</w:t>
      </w:r>
      <w:r>
        <w:t xml:space="preserve">, 1.18 GB), and indexed by the code and data concept DOIs (10.5281/zenodo.23675104; 10.5281/zenodo.23675278). The v2.1.0 code release is on GitHub.</w:t>
      </w:r>
    </w:p>
    <w:p>
      <w:pPr>
        <w:pStyle w:val="Compact"/>
        <w:numPr>
          <w:ilvl w:val="0"/>
          <w:numId w:val="1002"/>
        </w:numPr>
      </w:pPr>
      <w:r>
        <w:t xml:space="preserve">I declare no competing financial or non-financial conflicts of interest.</w:t>
      </w:r>
    </w:p>
    <w:p>
      <w:pPr>
        <w:pStyle w:val="FirstParagraph"/>
      </w:pPr>
      <w:r>
        <w:t xml:space="preserve">Thank you very much for your time, consideration, and editorial guidance.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Martín Sánchez Insfrán</w:t>
      </w:r>
      <w:r>
        <w:br/>
      </w:r>
      <w:r>
        <w:t xml:space="preserve">Independent Researcher</w:t>
      </w:r>
      <w:r>
        <w:br/>
      </w:r>
      <w:r>
        <w:t xml:space="preserve">Asunción, Republic of Paraguay</w:t>
      </w:r>
      <w:r>
        <w:br/>
      </w:r>
      <w: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0000-0003-4138-9668</w:t>
        </w:r>
      </w:hyperlink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  <w:r>
        <w:t xml:space="preserve">Phone: +595 971 907 727</w:t>
      </w:r>
      <w:r>
        <w:br/>
      </w:r>
      <w:r>
        <w:t xml:space="preserve">Code Repository:</w:t>
      </w:r>
      <w:r>
        <w:t xml:space="preserve"> </w:t>
      </w:r>
      <w:hyperlink r:id="rId12">
        <w:r>
          <w:rPr>
            <w:rStyle w:val="Hyperlink"/>
          </w:rPr>
          <w:t xml:space="preserve">https://github.com/sanchezmartin093-code/Incendios_PY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to the Editor-in-Chief</dc:title>
  <dc:creator/>
  <cp:keywords/>
  <dcterms:created xsi:type="dcterms:W3CDTF">2026-10-29T15:20:37Z</dcterms:created>
  <dcterms:modified xsi:type="dcterms:W3CDTF">2026-10-29T15:20:37Z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2026-10-29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