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contribución es computacional e infraestructural: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p>
      <w:pPr>
        <w:pStyle w:val="FirstParagraph"/>
      </w:pPr>
      <w:r>
        <w:t xml:space="preserve">El marco opera sobre la grilla nacional de 1 km² de Paraguay, dividida en el Chaco Seco y la Región Oriental (Figura 1). Todos los pasos de construcción de objetivos, inferencia y evaluación usan este dominio.</w:t>
      </w:r>
    </w:p>
    <w:tbl>
      <w:tblPr>
        <w:tblStyle w:val="Table"/>
        <w:tblW w:type="pct" w:w="5000"/>
        <w:tblLayout w:type="fixed"/>
        <w:tblLook w:firstRow="0" w:lastRow="0" w:firstColumn="0" w:lastColumn="0" w:noHBand="0" w:noVBand="0" w:val="0000"/>
      </w:tblPr>
      <w:tblGrid>
        <w:gridCol w:w="7920"/>
      </w:tblGrid>
      <w:tr>
        <w:tc>
          <w:tcPr/>
          <w:bookmarkStart w:id="14" w:name="fig-area"/>
          <w:p>
            <w:pPr>
              <w:pStyle w:val="Compact"/>
              <w:jc w:val="center"/>
            </w:pPr>
            <w:r>
              <w:drawing>
                <wp:inline>
                  <wp:extent cx="4267200" cy="4742348"/>
                  <wp:effectExtent b="0" l="0" r="0" t="0"/>
                  <wp:docPr descr="" title="" id="12" name="Picture"/>
                  <a:graphic>
                    <a:graphicData uri="http://schemas.openxmlformats.org/drawingml/2006/picture">
                      <pic:pic>
                        <pic:nvPicPr>
                          <pic:cNvPr descr="../../entregables/figuras/fig01_macro_regiones_cobertura.png" id="13" name="Picture"/>
                          <pic:cNvPicPr>
                            <a:picLocks noChangeArrowheads="1" noChangeAspect="1"/>
                          </pic:cNvPicPr>
                        </pic:nvPicPr>
                        <pic:blipFill>
                          <a:blip r:embed="rId11"/>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Dominio de estudio y división regional: Chaco Seco (oeste) y Región Oriental (este) sobre la grilla nacional de 1 km² (EPSG:32721).</w:t>
            </w:r>
          </w:p>
          <w:bookmarkEnd w:id="14"/>
        </w:tc>
      </w:tr>
    </w:tbl>
    <w:bookmarkStart w:id="15"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Esto evita que la persistencia de brasas contamine el objetivo de ignición. El umbral de 25 km es una restricción de dominio, no un buffer de muestreo negativo; no se aplica un buffer de 20 km a la muestra de test. El buffer se usa solo en el holdout de bloques espaciales descrito más abajo.</w:t>
      </w:r>
    </w:p>
    <w:bookmarkEnd w:id="15"/>
    <w:bookmarkStart w:id="20"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Estos umbrales son operativos más que un modelo formal de extinción: las celdas-día con VPD &lt; 0.8 kPa o ≥ 10 mm de lluvia en 48 h se excluyen por húmedas o persistentemente húmedas, mientras que se retienen combustibles finos suficientemente curados. El gate no se usa como filtro de etiquetas: solo elimina candidatos físicamente implausibles. Un gate más estricto y una muestra independiente sin gate se evalúan en la Nota S5.6 y la Tabla S31; ninguno cambia el ranking de los modelos.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2</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9" w:name="fig-framework"/>
          <w:p>
            <w:pPr>
              <w:pStyle w:val="Compact"/>
              <w:jc w:val="center"/>
            </w:pPr>
            <w:r>
              <w:drawing>
                <wp:inline>
                  <wp:extent cx="5334000" cy="3934472"/>
                  <wp:effectExtent b="0" l="0" r="0" t="0"/>
                  <wp:docPr descr="" title="" id="17" name="Picture"/>
                  <a:graphic>
                    <a:graphicData uri="http://schemas.openxmlformats.org/drawingml/2006/picture">
                      <pic:pic>
                        <pic:nvPicPr>
                          <pic:cNvPr descr="../../entregables/figuras/fig01_framework_conceptual.png" id="18" name="Picture"/>
                          <pic:cNvPicPr>
                            <a:picLocks noChangeArrowheads="1" noChangeAspect="1"/>
                          </pic:cNvPicPr>
                        </pic:nvPicPr>
                        <pic:blipFill>
                          <a:blip r:embed="rId16"/>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Marco computacional. (a) Los insumos diarios de 1 km² (VIIRS 375 m, ERA5-Land 3-hourly, MapBiomas C2, Hansen GFC y priors históricos causales) pasan por una compuerta biofísica (</w:t>
            </w:r>
            <w:r>
              <w:rPr>
                <w:rStyle w:val="VerbatimChar"/>
              </w:rPr>
              <w:t xml:space="preserve">R48h</w:t>
            </w:r>
            <w:r>
              <w:t xml:space="preserve"> </w:t>
            </w:r>
            <w:r>
              <w:t xml:space="preserve">&lt; 10 mm es la lluvia de 48 h; fuel = 1, VPD ≥ 0.8 kPa); la compuerta elimina 21.7 % de los cell-days pero retiene 97.17 % de las detecciones térmicas y no filtra etiquetas. (b) D2 usa</w:t>
            </w:r>
            <w:r>
              <w:t xml:space="preserve"> </w:t>
            </w:r>
            <w:r>
              <w:rPr>
                <w:rStyle w:val="VerbatimChar"/>
              </w:rPr>
              <w:t xml:space="preserve">N25(i,t−1)</w:t>
            </w:r>
            <w:r>
              <w:t xml:space="preserve"> </w:t>
            </w:r>
            <w:r>
              <w:t xml:space="preserve">para el conjunto de celdas a ≤25 km con fuego en t−1 y</w:t>
            </w:r>
            <w:r>
              <w:t xml:space="preserve"> </w:t>
            </w:r>
            <w:r>
              <w:rPr>
                <w:rStyle w:val="VerbatimChar"/>
              </w:rPr>
              <w:t xml:space="preserve">H10(i,t)</w:t>
            </w:r>
            <w:r>
              <w:t xml:space="preserve"> </w:t>
            </w:r>
            <w:r>
              <w:t xml:space="preserve">para cualquier detección en la misma celda en los 10 d previos; los dominios son disjuntos. Las recurrencias en la misma celda de 2–10 d sin un vecino en t−1 permanecen como negativos candidatos. (c) La muestra caso-control 1:10 se usa para ignición y se conservan los denominadores poblacionales. M3 se usa donde</w:t>
            </w:r>
            <w:r>
              <w:t xml:space="preserve"> </w:t>
            </w:r>
            <w:r>
              <w:rPr>
                <w:rStyle w:val="VerbatimChar"/>
              </w:rPr>
              <w:t xml:space="preserve">freq_hist_1km &gt; 0</w:t>
            </w:r>
            <w:r>
              <w:t xml:space="preserve"> </w:t>
            </w:r>
            <w:r>
              <w:t xml:space="preserve">y M2 donde es 0; la propagación usa un kernel causal en t−1. Las probabilidades se calibran con una transformación de Platt monótona por tarea, ajustada en 2023 y congelada; el corte F0.5 se aplica tras la corrección de prevalencia. M1 (24 variables) es una línea base diagnóstica y no se muestra. (d) La evaluación usa un split temporal congelado (2018–2022/2023/2024–2025), bloques de 50 km con un buffer de 20 km, bootstrap agrupado por fecha (500 IC de AUC; 1 000 pareadas), cost-loss y código/datos abiertos. El radio de 25 km es el target D2; el buffer de 20 km se aplica solo al holdout espacial. Los endpoints son ROC-AUC, PR-AUC, Brier, ECE, cobertura conformal, precisión/recall poblacional y lift; el código/datos, el DOI y los hashes están archivados.</w:t>
            </w:r>
          </w:p>
          <w:bookmarkEnd w:id="19"/>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20"/>
    <w:bookmarkStart w:id="21"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21"/>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El margen preespecificado δ = 0.01 se cumplió en Oriental para ROC-AUC y PR-AUC, pero no en el Chaco: las ganancias del Chaco fueron +0.0028 y +0.0089, por debajo de δ, aunque ambos intervalos excluyen cero. Por tanto, no se afirma que M3 sea superior a M2 en el Chaco. La arquitectura compartida usa M3 donde existe historia de fuego porque el componente de propagación es el objetivo operativo; la ganancia de ignición en el Chaco es incremental.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5.3×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+0.0453/+0.0034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de 1 km² únicas; 16 579/14 551 celdas-día de ignición muestreadas en Chaco/Oriental),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(+0.0059/+0.0059;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 El aumento de ROC-AUC en el subconjunto sin fuego en entrenamiento es consistente con la eliminación de celdas crónicamente quemadas que actúan como negativos difíciles; como la prevalencia cae a 7.66 % en el Chaco, PR-AUC y precisión no son directamente comparables entre subconjuntos.</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eliminó el exceso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−0.01/4.1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 El anillo conspicuo de alertas altas en el norte de Alto Paraguay es la huella de propagación de 25 km en t−1 alrededor del frente de Chovoreca, no una predicción independiente de ignición.</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La tabla completa de cobertura conformal empírica está en la Tabla S5 del suplemento, y los errores de calibración esperados de los modelos de referencia están en la Tabla S11.</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elimina el exceso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El resultado negativo define la línea base que el trabajo futuro debe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53">
        <w:r>
          <w:rPr>
            <w:rStyle w:val="Hyperlink"/>
          </w:rPr>
          <w:t xml:space="preserve">https://github.com/sanchezmartin093-code/Incendios_PY/releases/tag/v2.0.1</w:t>
        </w:r>
      </w:hyperlink>
      <w:r>
        <w:t xml:space="preserve"> </w:t>
      </w:r>
      <w:r>
        <w:t xml:space="preserve">bajo CC BY 4.0, y se documentan bajo el DOI conceptual de datos</w:t>
      </w:r>
      <w:r>
        <w:t xml:space="preserve"> </w:t>
      </w:r>
      <w:hyperlink r:id="rId54">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2026-10-29T15:20:34Z</dcterms:created>
  <dcterms:modified xsi:type="dcterms:W3CDTF">2026-10-29T15:20:34Z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