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b/>
          <w:color w:val="2F6D91"/>
          <w:sz w:val="16"/>
        </w:rPr>
        <w:t>CYBERSECURITY GOVERNANCE, RISK, AND COMPLIANCE</w:t>
      </w:r>
    </w:p>
    <w:p>
      <w:pPr>
        <w:pStyle w:val="Title"/>
      </w:pPr>
      <w:r>
        <w:t>Executive GRC</w:t>
        <w:br/>
        <w:t>Assessment Report</w:t>
      </w:r>
    </w:p>
    <w:p>
      <w:pPr>
        <w:spacing w:after="280"/>
      </w:pPr>
      <w:r>
        <w:rPr>
          <w:color w:val="2F6D91"/>
          <w:sz w:val="30"/>
        </w:rPr>
        <w:t>Trainory fitness and wellness technology platform</w:t>
      </w:r>
    </w:p>
    <w:p>
      <w:pPr>
        <w:spacing w:after="100"/>
        <w:pBdr>
          <w:bottom w:val="single" w:sz="12" w:space="1" w:color="E5A823"/>
        </w:pBdr>
      </w:pPr>
    </w:p>
    <w:tbl>
      <w:tblPr>
        <w:tblStyle w:val="TableGrid"/>
        <w:tblW w:type="auto" w:w="0"/>
        <w:jc w:val="center"/>
        <w:tblLayout w:type="autofit"/>
        <w:tblLook w:firstColumn="1" w:firstRow="1" w:lastColumn="0" w:lastRow="0" w:noHBand="0" w:noVBand="1" w:val="04A0"/>
      </w:tblPr>
      <w:tblGrid>
        <w:gridCol w:w="5112"/>
        <w:gridCol w:w="5112"/>
      </w:tblGrid>
      <w:tr>
        <w:tc>
          <w:tcPr>
            <w:tcW w:type="dxa" w:w="2088"/>
            <w:shd w:fill="193B5B"/>
            <w:vAlign w:val="center"/>
            <w:tcMar>
              <w:top w:w="60" w:type="dxa"/>
              <w:start w:w="80" w:type="dxa"/>
              <w:bottom w:w="60" w:type="dxa"/>
              <w:end w:w="80" w:type="dxa"/>
            </w:tcMar>
          </w:tcPr>
          <w:p>
            <w:pPr>
              <w:spacing w:after="0"/>
            </w:pPr>
            <w:r>
              <w:rPr>
                <w:b/>
                <w:color w:val="FFFFFF"/>
                <w:sz w:val="18"/>
              </w:rPr>
              <w:t>Report field</w:t>
            </w:r>
          </w:p>
        </w:tc>
        <w:tc>
          <w:tcPr>
            <w:tcW w:type="dxa" w:w="7920"/>
            <w:shd w:fill="193B5B"/>
            <w:vAlign w:val="center"/>
            <w:tcMar>
              <w:top w:w="60" w:type="dxa"/>
              <w:start w:w="80" w:type="dxa"/>
              <w:bottom w:w="60" w:type="dxa"/>
              <w:end w:w="80" w:type="dxa"/>
            </w:tcMar>
          </w:tcPr>
          <w:p>
            <w:pPr>
              <w:spacing w:after="0"/>
            </w:pPr>
            <w:r>
              <w:rPr>
                <w:b/>
                <w:color w:val="FFFFFF"/>
                <w:sz w:val="18"/>
              </w:rPr>
              <w:t>Detail</w:t>
            </w:r>
          </w:p>
        </w:tc>
      </w:tr>
      <w:tr>
        <w:tc>
          <w:tcPr>
            <w:tcW w:type="dxa" w:w="2088"/>
            <w:tcMar>
              <w:top w:w="60" w:type="dxa"/>
              <w:start w:w="80" w:type="dxa"/>
              <w:bottom w:w="60" w:type="dxa"/>
              <w:end w:w="80" w:type="dxa"/>
            </w:tcMar>
            <w:vAlign w:val="center"/>
          </w:tcPr>
          <w:p>
            <w:pPr>
              <w:spacing w:after="0" w:line="240" w:lineRule="auto"/>
            </w:pPr>
            <w:r>
              <w:rPr>
                <w:rFonts w:ascii="Aptos" w:hAnsi="Aptos"/>
                <w:color w:val="24303F"/>
                <w:sz w:val="18"/>
              </w:rPr>
              <w:t>Prepared for</w:t>
            </w:r>
          </w:p>
        </w:tc>
        <w:tc>
          <w:tcPr>
            <w:tcW w:type="dxa" w:w="7920"/>
            <w:tcMar>
              <w:top w:w="60" w:type="dxa"/>
              <w:start w:w="80" w:type="dxa"/>
              <w:bottom w:w="60" w:type="dxa"/>
              <w:end w:w="80" w:type="dxa"/>
            </w:tcMar>
            <w:vAlign w:val="center"/>
          </w:tcPr>
          <w:p>
            <w:pPr>
              <w:spacing w:after="0" w:line="240" w:lineRule="auto"/>
            </w:pPr>
            <w:r>
              <w:rPr>
                <w:rFonts w:ascii="Aptos" w:hAnsi="Aptos"/>
                <w:color w:val="24303F"/>
                <w:sz w:val="18"/>
              </w:rPr>
              <w:t>Executive Leadership</w:t>
            </w:r>
          </w:p>
        </w:tc>
      </w:tr>
      <w:tr>
        <w:tc>
          <w:tcPr>
            <w:tcW w:type="dxa" w:w="2088"/>
            <w:shd w:fill="F4F7FA"/>
            <w:tcMar>
              <w:top w:w="60" w:type="dxa"/>
              <w:start w:w="80" w:type="dxa"/>
              <w:bottom w:w="60" w:type="dxa"/>
              <w:end w:w="80" w:type="dxa"/>
            </w:tcMar>
            <w:vAlign w:val="center"/>
          </w:tcPr>
          <w:p>
            <w:pPr>
              <w:spacing w:after="0" w:line="240" w:lineRule="auto"/>
            </w:pPr>
            <w:r>
              <w:rPr>
                <w:rFonts w:ascii="Aptos" w:hAnsi="Aptos"/>
                <w:color w:val="24303F"/>
                <w:sz w:val="18"/>
              </w:rPr>
              <w:t>Prepared by</w:t>
            </w:r>
          </w:p>
        </w:tc>
        <w:tc>
          <w:tcPr>
            <w:tcW w:type="dxa" w:w="7920"/>
            <w:shd w:fill="F4F7FA"/>
            <w:tcMar>
              <w:top w:w="60" w:type="dxa"/>
              <w:start w:w="80" w:type="dxa"/>
              <w:bottom w:w="60" w:type="dxa"/>
              <w:end w:w="80" w:type="dxa"/>
            </w:tcMar>
            <w:vAlign w:val="center"/>
          </w:tcPr>
          <w:p>
            <w:pPr>
              <w:spacing w:after="0" w:line="240" w:lineRule="auto"/>
            </w:pPr>
            <w:r>
              <w:rPr>
                <w:rFonts w:ascii="Aptos" w:hAnsi="Aptos"/>
                <w:color w:val="24303F"/>
                <w:sz w:val="18"/>
              </w:rPr>
              <w:t>Jared Sanchez</w:t>
            </w:r>
          </w:p>
        </w:tc>
      </w:tr>
      <w:tr>
        <w:tc>
          <w:tcPr>
            <w:tcW w:type="dxa" w:w="2088"/>
            <w:tcMar>
              <w:top w:w="60" w:type="dxa"/>
              <w:start w:w="80" w:type="dxa"/>
              <w:bottom w:w="60" w:type="dxa"/>
              <w:end w:w="80" w:type="dxa"/>
            </w:tcMar>
            <w:vAlign w:val="center"/>
          </w:tcPr>
          <w:p>
            <w:pPr>
              <w:spacing w:after="0" w:line="240" w:lineRule="auto"/>
            </w:pPr>
            <w:r>
              <w:rPr>
                <w:rFonts w:ascii="Aptos" w:hAnsi="Aptos"/>
                <w:color w:val="24303F"/>
                <w:sz w:val="18"/>
              </w:rPr>
              <w:t>Assessment date</w:t>
            </w:r>
          </w:p>
        </w:tc>
        <w:tc>
          <w:tcPr>
            <w:tcW w:type="dxa" w:w="7920"/>
            <w:tcMar>
              <w:top w:w="60" w:type="dxa"/>
              <w:start w:w="80" w:type="dxa"/>
              <w:bottom w:w="60" w:type="dxa"/>
              <w:end w:w="80" w:type="dxa"/>
            </w:tcMar>
            <w:vAlign w:val="center"/>
          </w:tcPr>
          <w:p>
            <w:pPr>
              <w:spacing w:after="0" w:line="240" w:lineRule="auto"/>
            </w:pPr>
            <w:r>
              <w:rPr>
                <w:rFonts w:ascii="Aptos" w:hAnsi="Aptos"/>
                <w:color w:val="24303F"/>
                <w:sz w:val="18"/>
              </w:rPr>
              <w:t>September 2026</w:t>
            </w:r>
          </w:p>
        </w:tc>
      </w:tr>
      <w:tr>
        <w:tc>
          <w:tcPr>
            <w:tcW w:type="dxa" w:w="2088"/>
            <w:shd w:fill="F4F7FA"/>
            <w:tcMar>
              <w:top w:w="60" w:type="dxa"/>
              <w:start w:w="80" w:type="dxa"/>
              <w:bottom w:w="60" w:type="dxa"/>
              <w:end w:w="80" w:type="dxa"/>
            </w:tcMar>
            <w:vAlign w:val="center"/>
          </w:tcPr>
          <w:p>
            <w:pPr>
              <w:spacing w:after="0" w:line="240" w:lineRule="auto"/>
            </w:pPr>
            <w:r>
              <w:rPr>
                <w:rFonts w:ascii="Aptos" w:hAnsi="Aptos"/>
                <w:color w:val="24303F"/>
                <w:sz w:val="18"/>
              </w:rPr>
              <w:t>Framework</w:t>
            </w:r>
          </w:p>
        </w:tc>
        <w:tc>
          <w:tcPr>
            <w:tcW w:type="dxa" w:w="7920"/>
            <w:shd w:fill="F4F7FA"/>
            <w:tcMar>
              <w:top w:w="60" w:type="dxa"/>
              <w:start w:w="80" w:type="dxa"/>
              <w:bottom w:w="60" w:type="dxa"/>
              <w:end w:w="80" w:type="dxa"/>
            </w:tcMar>
            <w:vAlign w:val="center"/>
          </w:tcPr>
          <w:p>
            <w:pPr>
              <w:spacing w:after="0" w:line="240" w:lineRule="auto"/>
            </w:pPr>
            <w:r>
              <w:rPr>
                <w:rFonts w:ascii="Aptos" w:hAnsi="Aptos"/>
                <w:color w:val="24303F"/>
                <w:sz w:val="18"/>
              </w:rPr>
              <w:t>NIST Cybersecurity Framework 2.0</w:t>
            </w:r>
          </w:p>
        </w:tc>
      </w:tr>
      <w:tr>
        <w:tc>
          <w:tcPr>
            <w:tcW w:type="dxa" w:w="2088"/>
            <w:tcMar>
              <w:top w:w="60" w:type="dxa"/>
              <w:start w:w="80" w:type="dxa"/>
              <w:bottom w:w="60" w:type="dxa"/>
              <w:end w:w="80" w:type="dxa"/>
            </w:tcMar>
            <w:vAlign w:val="center"/>
          </w:tcPr>
          <w:p>
            <w:pPr>
              <w:spacing w:after="0" w:line="240" w:lineRule="auto"/>
            </w:pPr>
            <w:r>
              <w:rPr>
                <w:rFonts w:ascii="Aptos" w:hAnsi="Aptos"/>
                <w:color w:val="24303F"/>
                <w:sz w:val="18"/>
              </w:rPr>
              <w:t>Classification</w:t>
            </w:r>
          </w:p>
        </w:tc>
        <w:tc>
          <w:tcPr>
            <w:tcW w:type="dxa" w:w="7920"/>
            <w:tcMar>
              <w:top w:w="60" w:type="dxa"/>
              <w:start w:w="80" w:type="dxa"/>
              <w:bottom w:w="60" w:type="dxa"/>
              <w:end w:w="80" w:type="dxa"/>
            </w:tcMar>
            <w:vAlign w:val="center"/>
          </w:tcPr>
          <w:p>
            <w:pPr>
              <w:spacing w:after="0" w:line="240" w:lineRule="auto"/>
            </w:pPr>
            <w:r>
              <w:rPr>
                <w:rFonts w:ascii="Aptos" w:hAnsi="Aptos"/>
                <w:color w:val="24303F"/>
                <w:sz w:val="18"/>
              </w:rPr>
              <w:t>Case Study</w:t>
            </w:r>
          </w:p>
        </w:tc>
      </w:tr>
    </w:tbl>
    <w:p/>
    <w:tbl>
      <w:tblPr>
        <w:tblStyle w:val="TableGrid"/>
        <w:tblW w:type="auto" w:w="0"/>
        <w:jc w:val="center"/>
        <w:tblLayout w:type="autofit"/>
        <w:tblLook w:firstColumn="1" w:firstRow="1" w:lastColumn="0" w:lastRow="0" w:noHBand="0" w:noVBand="1" w:val="04A0"/>
      </w:tblPr>
      <w:tblGrid>
        <w:gridCol w:w="10224"/>
      </w:tblGrid>
      <w:tr>
        <w:tc>
          <w:tcPr>
            <w:tcW w:type="dxa" w:w="10224"/>
            <w:shd w:fill="193B5B"/>
            <w:vAlign w:val="center"/>
            <w:tcMar>
              <w:top w:w="60" w:type="dxa"/>
              <w:start w:w="80" w:type="dxa"/>
              <w:bottom w:w="60" w:type="dxa"/>
              <w:end w:w="80" w:type="dxa"/>
            </w:tcMar>
          </w:tcPr>
          <w:p>
            <w:pPr>
              <w:spacing w:after="0"/>
            </w:pPr>
            <w:r>
              <w:rPr>
                <w:b/>
                <w:color w:val="FFFFFF"/>
                <w:sz w:val="20"/>
              </w:rPr>
              <w:t>Executive recommendation</w:t>
            </w:r>
          </w:p>
        </w:tc>
      </w:tr>
      <w:tr>
        <w:tc>
          <w:tcPr>
            <w:tcW w:type="dxa" w:w="10224"/>
            <w:tcMar>
              <w:top w:w="60" w:type="dxa"/>
              <w:start w:w="80" w:type="dxa"/>
              <w:bottom w:w="60" w:type="dxa"/>
              <w:end w:w="80" w:type="dxa"/>
            </w:tcMar>
            <w:vAlign w:val="center"/>
            <w:shd w:fill="E7EFF6"/>
          </w:tcPr>
          <w:p>
            <w:pPr>
              <w:spacing w:after="0" w:line="240" w:lineRule="auto"/>
            </w:pPr>
            <w:r>
              <w:rPr>
                <w:rFonts w:ascii="Aptos" w:hAnsi="Aptos"/>
                <w:color w:val="24303F"/>
                <w:sz w:val="20"/>
              </w:rPr>
              <w:t>Continue controlled operation while remediating High residual risks. Approve the VitaSync integration only under defined conditions, remove inappropriate access immediately, and require evidence that critical controls are operating before accepting residual risk.</w:t>
            </w:r>
          </w:p>
        </w:tc>
      </w:tr>
    </w:tbl>
    <w:p>
      <w:pPr>
        <w:pStyle w:val="Heading2"/>
      </w:pPr>
      <w:r>
        <w:t>Purpose</w:t>
      </w:r>
    </w:p>
    <w:p>
      <w:r>
        <w:t>Provide a decision-focused view of Trainory's cyber risk posture, control maturity, assurance gaps, and remediation priorities.</w:t>
      </w:r>
    </w:p>
    <w:p>
      <w:pPr>
        <w:spacing w:before="360"/>
      </w:pPr>
      <w:r>
        <w:rPr>
          <w:i/>
          <w:color w:val="5B6B7E"/>
        </w:rPr>
        <w:t>Case study notice: Trainory, VitaSync, and all assessment data are fictional.</w:t>
      </w:r>
    </w:p>
    <w:p>
      <w:r>
        <w:br w:type="page"/>
      </w:r>
    </w:p>
    <w:p>
      <w:pPr>
        <w:pStyle w:val="Heading1"/>
      </w:pPr>
      <w:r>
        <w:t>1. Executive Summary</w:t>
      </w:r>
    </w:p>
    <w:p>
      <w:pPr>
        <w:spacing w:after="100"/>
        <w:pBdr>
          <w:bottom w:val="single" w:sz="12" w:space="1" w:color="E5A823"/>
        </w:pBdr>
      </w:pPr>
    </w:p>
    <w:p>
      <w:r>
        <w:t>Trainory's baseline security posture is developing. Existing controls reduce aggregate modeled risk by approximately 28%, but 11 of 15 identified risks remain High after considering those controls. Several documented controls still require approval, implementation, testing, and retained operating evidence.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fill="193B5B"/>
            <w:vAlign w:val="center"/>
            <w:tcMar>
              <w:top w:w="60" w:type="dxa"/>
              <w:start w:w="80" w:type="dxa"/>
              <w:bottom w:w="60" w:type="dxa"/>
              <w:end w:w="80" w:type="dxa"/>
            </w:tcMar>
          </w:tcPr>
          <w:p>
            <w:pPr>
              <w:spacing w:after="0"/>
            </w:pPr>
            <w:r>
              <w:rPr>
                <w:b/>
                <w:color w:val="FFFFFF"/>
                <w:sz w:val="18"/>
              </w:rPr>
              <w:t>Residual exposure</w:t>
            </w:r>
          </w:p>
        </w:tc>
        <w:tc>
          <w:tcPr>
            <w:tcW w:type="dxa" w:w="2556"/>
            <w:shd w:fill="193B5B"/>
            <w:vAlign w:val="center"/>
            <w:tcMar>
              <w:top w:w="60" w:type="dxa"/>
              <w:start w:w="80" w:type="dxa"/>
              <w:bottom w:w="60" w:type="dxa"/>
              <w:end w:w="80" w:type="dxa"/>
            </w:tcMar>
          </w:tcPr>
          <w:p>
            <w:pPr>
              <w:spacing w:after="0"/>
            </w:pPr>
            <w:r>
              <w:rPr>
                <w:b/>
                <w:color w:val="FFFFFF"/>
                <w:sz w:val="18"/>
              </w:rPr>
              <w:t>CSF maturity</w:t>
            </w:r>
          </w:p>
        </w:tc>
        <w:tc>
          <w:tcPr>
            <w:tcW w:type="dxa" w:w="2556"/>
            <w:shd w:fill="193B5B"/>
            <w:vAlign w:val="center"/>
            <w:tcMar>
              <w:top w:w="60" w:type="dxa"/>
              <w:start w:w="80" w:type="dxa"/>
              <w:bottom w:w="60" w:type="dxa"/>
              <w:end w:w="80" w:type="dxa"/>
            </w:tcMar>
          </w:tcPr>
          <w:p>
            <w:pPr>
              <w:spacing w:after="0"/>
            </w:pPr>
            <w:r>
              <w:rPr>
                <w:b/>
                <w:color w:val="FFFFFF"/>
                <w:sz w:val="18"/>
              </w:rPr>
              <w:t>Access exceptions</w:t>
            </w:r>
          </w:p>
        </w:tc>
        <w:tc>
          <w:tcPr>
            <w:tcW w:type="dxa" w:w="2556"/>
            <w:shd w:fill="193B5B"/>
            <w:vAlign w:val="center"/>
            <w:tcMar>
              <w:top w:w="60" w:type="dxa"/>
              <w:start w:w="80" w:type="dxa"/>
              <w:bottom w:w="60" w:type="dxa"/>
              <w:end w:w="80" w:type="dxa"/>
            </w:tcMar>
          </w:tcPr>
          <w:p>
            <w:pPr>
              <w:spacing w:after="0"/>
            </w:pPr>
            <w:r>
              <w:rPr>
                <w:b/>
                <w:color w:val="FFFFFF"/>
                <w:sz w:val="18"/>
              </w:rPr>
              <w:t>Open findings</w:t>
            </w:r>
          </w:p>
        </w:tc>
      </w:tr>
      <w:tr>
        <w:tc>
          <w:tcPr>
            <w:tcW w:type="dxa" w:w="2556"/>
            <w:tcMar>
              <w:top w:w="60" w:type="dxa"/>
              <w:start w:w="80" w:type="dxa"/>
              <w:bottom w:w="60" w:type="dxa"/>
              <w:end w:w="80" w:type="dxa"/>
            </w:tcMar>
            <w:vAlign w:val="center"/>
          </w:tcPr>
          <w:p>
            <w:pPr>
              <w:spacing w:after="0" w:line="240" w:lineRule="auto"/>
            </w:pPr>
            <w:r>
              <w:rPr>
                <w:rFonts w:ascii="Aptos" w:hAnsi="Aptos"/>
                <w:color w:val="24303F"/>
                <w:sz w:val="18"/>
              </w:rPr>
              <w:t>11 High risks</w:t>
            </w:r>
          </w:p>
        </w:tc>
        <w:tc>
          <w:tcPr>
            <w:tcW w:type="dxa" w:w="2556"/>
            <w:tcMar>
              <w:top w:w="60" w:type="dxa"/>
              <w:start w:w="80" w:type="dxa"/>
              <w:bottom w:w="60" w:type="dxa"/>
              <w:end w:w="80" w:type="dxa"/>
            </w:tcMar>
            <w:vAlign w:val="center"/>
          </w:tcPr>
          <w:p>
            <w:pPr>
              <w:spacing w:after="0" w:line="240" w:lineRule="auto"/>
            </w:pPr>
            <w:r>
              <w:rPr>
                <w:rFonts w:ascii="Aptos" w:hAnsi="Aptos"/>
                <w:color w:val="24303F"/>
                <w:sz w:val="18"/>
              </w:rPr>
              <w:t>50% / 22 outcomes</w:t>
            </w:r>
          </w:p>
        </w:tc>
        <w:tc>
          <w:tcPr>
            <w:tcW w:type="dxa" w:w="2556"/>
            <w:tcMar>
              <w:top w:w="60" w:type="dxa"/>
              <w:start w:w="80" w:type="dxa"/>
              <w:bottom w:w="60" w:type="dxa"/>
              <w:end w:w="80" w:type="dxa"/>
            </w:tcMar>
            <w:vAlign w:val="center"/>
          </w:tcPr>
          <w:p>
            <w:pPr>
              <w:spacing w:after="0" w:line="240" w:lineRule="auto"/>
            </w:pPr>
            <w:r>
              <w:rPr>
                <w:rFonts w:ascii="Aptos" w:hAnsi="Aptos"/>
                <w:color w:val="24303F"/>
                <w:sz w:val="18"/>
              </w:rPr>
              <w:t>11 of 28 records</w:t>
            </w:r>
          </w:p>
        </w:tc>
        <w:tc>
          <w:tcPr>
            <w:tcW w:type="dxa" w:w="2556"/>
            <w:tcMar>
              <w:top w:w="60" w:type="dxa"/>
              <w:start w:w="80" w:type="dxa"/>
              <w:bottom w:w="60" w:type="dxa"/>
              <w:end w:w="80" w:type="dxa"/>
            </w:tcMar>
            <w:vAlign w:val="center"/>
          </w:tcPr>
          <w:p>
            <w:pPr>
              <w:spacing w:after="0" w:line="240" w:lineRule="auto"/>
            </w:pPr>
            <w:r>
              <w:rPr>
                <w:rFonts w:ascii="Aptos" w:hAnsi="Aptos"/>
                <w:color w:val="24303F"/>
                <w:sz w:val="18"/>
              </w:rPr>
              <w:t>14 access + vendor</w:t>
            </w:r>
          </w:p>
        </w:tc>
      </w:tr>
    </w:tbl>
    <w:p>
      <w:pPr>
        <w:pStyle w:val="Heading2"/>
      </w:pPr>
      <w:r>
        <w:t>Management decision</w:t>
      </w:r>
    </w:p>
    <w:p>
      <w:r>
        <w:t>Treat the current posture as elevated but manageable. Maintain service with defined guardrails, prioritize the highest-impact corrective actions, and require owners to provide closure evidence.</w:t>
      </w:r>
    </w:p>
    <w:p>
      <w:pPr>
        <w:pStyle w:val="Heading2"/>
      </w:pPr>
      <w:r>
        <w:t>Primary conclusions</w:t>
      </w:r>
    </w:p>
    <w:p>
      <w:pPr>
        <w:pStyle w:val="ListBullet"/>
        <w:spacing w:after="40"/>
        <w:ind w:left="259" w:hanging="187"/>
      </w:pPr>
      <w:r>
        <w:t>Identity and access weaknesses create immediate exposure, including a terminated contractor account, unnecessary production and database access, and an unowned privileged service account.</w:t>
      </w:r>
    </w:p>
    <w:p>
      <w:pPr>
        <w:pStyle w:val="ListBullet"/>
        <w:spacing w:after="40"/>
        <w:ind w:left="259" w:hanging="187"/>
      </w:pPr>
      <w:r>
        <w:t>Application, cloud, monitoring, and recovery controls require formal baselines, recurring testing, and evidence of consistent operation.</w:t>
      </w:r>
    </w:p>
    <w:p>
      <w:pPr>
        <w:pStyle w:val="ListBullet"/>
        <w:spacing w:after="40"/>
        <w:ind w:left="259" w:hanging="187"/>
      </w:pPr>
      <w:r>
        <w:t>VitaSync's 70% weighted control score supports conditional approval because six material vendor findings remain.</w:t>
      </w:r>
    </w:p>
    <w:p>
      <w:pPr>
        <w:pStyle w:val="ListBullet"/>
        <w:spacing w:after="40"/>
        <w:ind w:left="259" w:hanging="187"/>
      </w:pPr>
      <w:r>
        <w:t>The selected NIST CSF baseline is 50%. Policies and plans count as designed controls, not proof of operating effectiveness.</w:t>
      </w:r>
    </w:p>
    <w:p>
      <w:pPr>
        <w:pStyle w:val="Heading2"/>
      </w:pPr>
      <w:r>
        <w:t>Immediate management actions</w:t>
      </w:r>
    </w:p>
    <w:p>
      <w:pPr>
        <w:pStyle w:val="ListNumber"/>
        <w:spacing w:after="40"/>
        <w:ind w:left="288" w:hanging="216"/>
      </w:pPr>
      <w:r>
        <w:t>Disable and investigate the terminated contractor account. Preserve offboarding and activity-review evidence.</w:t>
      </w:r>
    </w:p>
    <w:p>
      <w:pPr>
        <w:pStyle w:val="ListNumber"/>
        <w:spacing w:after="40"/>
        <w:ind w:left="288" w:hanging="216"/>
      </w:pPr>
      <w:r>
        <w:t>Remove direct production and database access that is not required. Replace broad roles with least-privilege alternatives.</w:t>
      </w:r>
    </w:p>
    <w:p>
      <w:pPr>
        <w:pStyle w:val="ListNumber"/>
        <w:spacing w:after="40"/>
        <w:ind w:left="288" w:hanging="216"/>
      </w:pPr>
      <w:r>
        <w:t>Place VitaSync under conditional approval with monthly remediation reporting, owners, due dates, closure evidence, and defined risk-acceptance authority.</w:t>
      </w:r>
    </w:p>
    <w:p>
      <w:r>
        <w:br w:type="page"/>
      </w:r>
    </w:p>
    <w:p>
      <w:pPr>
        <w:pStyle w:val="Heading1"/>
      </w:pPr>
      <w:r>
        <w:t>2. Scope and Methodology</w:t>
      </w:r>
    </w:p>
    <w:p>
      <w:pPr>
        <w:spacing w:after="100"/>
        <w:pBdr>
          <w:bottom w:val="single" w:sz="12" w:space="1" w:color="E5A823"/>
        </w:pBdr>
      </w:pPr>
    </w:p>
    <w:p>
      <w:r>
        <w:t>The assessment covers a fictional cloud-based fitness and wellness platform that stores customer profiles, workout history, performance information, account data, and wearable-device data. The review focuses on confidentiality, integrity, availability, privacy, and customer trust.</w:t>
      </w:r>
    </w:p>
    <w:p>
      <w:pPr>
        <w:pStyle w:val="Heading2"/>
      </w:pPr>
      <w:r>
        <w:t>Assessment scope</w:t>
      </w:r>
    </w:p>
    <w:p>
      <w:pPr>
        <w:pStyle w:val="ListBullet"/>
        <w:spacing w:after="40"/>
        <w:ind w:left="259" w:hanging="187"/>
      </w:pPr>
      <w:r>
        <w:t>15 business, technology, data, security, and third-party assets.</w:t>
      </w:r>
    </w:p>
    <w:p>
      <w:pPr>
        <w:pStyle w:val="ListBullet"/>
        <w:spacing w:after="40"/>
        <w:ind w:left="259" w:hanging="187"/>
      </w:pPr>
      <w:r>
        <w:t>15 cybersecurity and privacy risk scenarios using a 5 × 5 likelihood-impact method.</w:t>
      </w:r>
    </w:p>
    <w:p>
      <w:pPr>
        <w:pStyle w:val="ListBullet"/>
        <w:spacing w:after="40"/>
        <w:ind w:left="259" w:hanging="187"/>
      </w:pPr>
      <w:r>
        <w:t>22 selected NIST CSF 2.0 outcomes across all six functions.</w:t>
      </w:r>
    </w:p>
    <w:p>
      <w:pPr>
        <w:pStyle w:val="ListBullet"/>
        <w:spacing w:after="40"/>
        <w:ind w:left="259" w:hanging="187"/>
      </w:pPr>
      <w:r>
        <w:t>25 vendor-control questions for VitaSync, a fictional wearable-data integration provider.</w:t>
      </w:r>
    </w:p>
    <w:p>
      <w:pPr>
        <w:pStyle w:val="ListBullet"/>
        <w:spacing w:after="40"/>
        <w:ind w:left="259" w:hanging="187"/>
      </w:pPr>
      <w:r>
        <w:t>28 workforce, contractor, vendor, and service-account access records.</w:t>
      </w:r>
    </w:p>
    <w:p>
      <w:pPr>
        <w:pStyle w:val="Heading2"/>
      </w:pPr>
      <w:r>
        <w:t>Method</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720"/>
            <w:shd w:fill="193B5B"/>
            <w:vAlign w:val="center"/>
            <w:tcMar>
              <w:top w:w="60" w:type="dxa"/>
              <w:start w:w="80" w:type="dxa"/>
              <w:bottom w:w="60" w:type="dxa"/>
              <w:end w:w="80" w:type="dxa"/>
            </w:tcMar>
          </w:tcPr>
          <w:p>
            <w:pPr>
              <w:spacing w:after="0"/>
            </w:pPr>
            <w:r>
              <w:rPr>
                <w:b/>
                <w:color w:val="FFFFFF"/>
                <w:sz w:val="16"/>
              </w:rPr>
              <w:t>Stage</w:t>
            </w:r>
          </w:p>
        </w:tc>
        <w:tc>
          <w:tcPr>
            <w:tcW w:type="dxa" w:w="2016"/>
            <w:shd w:fill="193B5B"/>
            <w:vAlign w:val="center"/>
            <w:tcMar>
              <w:top w:w="60" w:type="dxa"/>
              <w:start w:w="80" w:type="dxa"/>
              <w:bottom w:w="60" w:type="dxa"/>
              <w:end w:w="80" w:type="dxa"/>
            </w:tcMar>
          </w:tcPr>
          <w:p>
            <w:pPr>
              <w:spacing w:after="0"/>
            </w:pPr>
            <w:r>
              <w:rPr>
                <w:b/>
                <w:color w:val="FFFFFF"/>
                <w:sz w:val="16"/>
              </w:rPr>
              <w:t>Activity</w:t>
            </w:r>
          </w:p>
        </w:tc>
        <w:tc>
          <w:tcPr>
            <w:tcW w:type="dxa" w:w="7344"/>
            <w:shd w:fill="193B5B"/>
            <w:vAlign w:val="center"/>
            <w:tcMar>
              <w:top w:w="60" w:type="dxa"/>
              <w:start w:w="80" w:type="dxa"/>
              <w:bottom w:w="60" w:type="dxa"/>
              <w:end w:w="80" w:type="dxa"/>
            </w:tcMar>
          </w:tcPr>
          <w:p>
            <w:pPr>
              <w:spacing w:after="0"/>
            </w:pPr>
            <w:r>
              <w:rPr>
                <w:b/>
                <w:color w:val="FFFFFF"/>
                <w:sz w:val="16"/>
              </w:rPr>
              <w:t>Output</w:t>
            </w:r>
          </w:p>
        </w:tc>
      </w:tr>
      <w:tr>
        <w:tc>
          <w:tcPr>
            <w:tcW w:type="dxa" w:w="720"/>
            <w:tcMar>
              <w:top w:w="60" w:type="dxa"/>
              <w:start w:w="80" w:type="dxa"/>
              <w:bottom w:w="60" w:type="dxa"/>
              <w:end w:w="80" w:type="dxa"/>
            </w:tcMar>
            <w:vAlign w:val="center"/>
          </w:tcPr>
          <w:p>
            <w:pPr>
              <w:spacing w:after="0" w:line="240" w:lineRule="auto"/>
            </w:pPr>
            <w:r>
              <w:rPr>
                <w:rFonts w:ascii="Aptos" w:hAnsi="Aptos"/>
                <w:color w:val="24303F"/>
                <w:sz w:val="16"/>
              </w:rPr>
              <w:t>1</w:t>
            </w:r>
          </w:p>
        </w:tc>
        <w:tc>
          <w:tcPr>
            <w:tcW w:type="dxa" w:w="2016"/>
            <w:tcMar>
              <w:top w:w="60" w:type="dxa"/>
              <w:start w:w="80" w:type="dxa"/>
              <w:bottom w:w="60" w:type="dxa"/>
              <w:end w:w="80" w:type="dxa"/>
            </w:tcMar>
            <w:vAlign w:val="center"/>
          </w:tcPr>
          <w:p>
            <w:pPr>
              <w:spacing w:after="0" w:line="240" w:lineRule="auto"/>
            </w:pPr>
            <w:r>
              <w:rPr>
                <w:rFonts w:ascii="Aptos" w:hAnsi="Aptos"/>
                <w:color w:val="24303F"/>
                <w:sz w:val="16"/>
              </w:rPr>
              <w:t>Establish scope</w:t>
            </w:r>
          </w:p>
        </w:tc>
        <w:tc>
          <w:tcPr>
            <w:tcW w:type="dxa" w:w="7344"/>
            <w:tcMar>
              <w:top w:w="60" w:type="dxa"/>
              <w:start w:w="80" w:type="dxa"/>
              <w:bottom w:w="60" w:type="dxa"/>
              <w:end w:w="80" w:type="dxa"/>
            </w:tcMar>
            <w:vAlign w:val="center"/>
          </w:tcPr>
          <w:p>
            <w:pPr>
              <w:spacing w:after="0" w:line="240" w:lineRule="auto"/>
            </w:pPr>
            <w:r>
              <w:rPr>
                <w:rFonts w:ascii="Aptos" w:hAnsi="Aptos"/>
                <w:color w:val="24303F"/>
                <w:sz w:val="16"/>
              </w:rPr>
              <w:t>Assets, owners, sensitive data, dependencies, and business impact</w:t>
            </w:r>
          </w:p>
        </w:tc>
      </w:tr>
      <w:tr>
        <w:tc>
          <w:tcPr>
            <w:tcW w:type="dxa" w:w="720"/>
            <w:shd w:fill="F4F7FA"/>
            <w:tcMar>
              <w:top w:w="60" w:type="dxa"/>
              <w:start w:w="80" w:type="dxa"/>
              <w:bottom w:w="60" w:type="dxa"/>
              <w:end w:w="80" w:type="dxa"/>
            </w:tcMar>
            <w:vAlign w:val="center"/>
          </w:tcPr>
          <w:p>
            <w:pPr>
              <w:spacing w:after="0" w:line="240" w:lineRule="auto"/>
            </w:pPr>
            <w:r>
              <w:rPr>
                <w:rFonts w:ascii="Aptos" w:hAnsi="Aptos"/>
                <w:color w:val="24303F"/>
                <w:sz w:val="16"/>
              </w:rPr>
              <w:t>2</w:t>
            </w:r>
          </w:p>
        </w:tc>
        <w:tc>
          <w:tcPr>
            <w:tcW w:type="dxa" w:w="2016"/>
            <w:shd w:fill="F4F7FA"/>
            <w:tcMar>
              <w:top w:w="60" w:type="dxa"/>
              <w:start w:w="80" w:type="dxa"/>
              <w:bottom w:w="60" w:type="dxa"/>
              <w:end w:w="80" w:type="dxa"/>
            </w:tcMar>
            <w:vAlign w:val="center"/>
          </w:tcPr>
          <w:p>
            <w:pPr>
              <w:spacing w:after="0" w:line="240" w:lineRule="auto"/>
            </w:pPr>
            <w:r>
              <w:rPr>
                <w:rFonts w:ascii="Aptos" w:hAnsi="Aptos"/>
                <w:color w:val="24303F"/>
                <w:sz w:val="16"/>
              </w:rPr>
              <w:t>Assess risk</w:t>
            </w:r>
          </w:p>
        </w:tc>
        <w:tc>
          <w:tcPr>
            <w:tcW w:type="dxa" w:w="7344"/>
            <w:shd w:fill="F4F7FA"/>
            <w:tcMar>
              <w:top w:w="60" w:type="dxa"/>
              <w:start w:w="80" w:type="dxa"/>
              <w:bottom w:w="60" w:type="dxa"/>
              <w:end w:w="80" w:type="dxa"/>
            </w:tcMar>
            <w:vAlign w:val="center"/>
          </w:tcPr>
          <w:p>
            <w:pPr>
              <w:spacing w:after="0" w:line="240" w:lineRule="auto"/>
            </w:pPr>
            <w:r>
              <w:rPr>
                <w:rFonts w:ascii="Aptos" w:hAnsi="Aptos"/>
                <w:color w:val="24303F"/>
                <w:sz w:val="16"/>
              </w:rPr>
              <w:t>Inherent and residual scores, controls, treatment, and ownership</w:t>
            </w:r>
          </w:p>
        </w:tc>
      </w:tr>
      <w:tr>
        <w:tc>
          <w:tcPr>
            <w:tcW w:type="dxa" w:w="720"/>
            <w:tcMar>
              <w:top w:w="60" w:type="dxa"/>
              <w:start w:w="80" w:type="dxa"/>
              <w:bottom w:w="60" w:type="dxa"/>
              <w:end w:w="80" w:type="dxa"/>
            </w:tcMar>
            <w:vAlign w:val="center"/>
          </w:tcPr>
          <w:p>
            <w:pPr>
              <w:spacing w:after="0" w:line="240" w:lineRule="auto"/>
            </w:pPr>
            <w:r>
              <w:rPr>
                <w:rFonts w:ascii="Aptos" w:hAnsi="Aptos"/>
                <w:color w:val="24303F"/>
                <w:sz w:val="16"/>
              </w:rPr>
              <w:t>3</w:t>
            </w:r>
          </w:p>
        </w:tc>
        <w:tc>
          <w:tcPr>
            <w:tcW w:type="dxa" w:w="2016"/>
            <w:tcMar>
              <w:top w:w="60" w:type="dxa"/>
              <w:start w:w="80" w:type="dxa"/>
              <w:bottom w:w="60" w:type="dxa"/>
              <w:end w:w="80" w:type="dxa"/>
            </w:tcMar>
            <w:vAlign w:val="center"/>
          </w:tcPr>
          <w:p>
            <w:pPr>
              <w:spacing w:after="0" w:line="240" w:lineRule="auto"/>
            </w:pPr>
            <w:r>
              <w:rPr>
                <w:rFonts w:ascii="Aptos" w:hAnsi="Aptos"/>
                <w:color w:val="24303F"/>
                <w:sz w:val="16"/>
              </w:rPr>
              <w:t>Evaluate controls</w:t>
            </w:r>
          </w:p>
        </w:tc>
        <w:tc>
          <w:tcPr>
            <w:tcW w:type="dxa" w:w="7344"/>
            <w:tcMar>
              <w:top w:w="60" w:type="dxa"/>
              <w:start w:w="80" w:type="dxa"/>
              <w:bottom w:w="60" w:type="dxa"/>
              <w:end w:w="80" w:type="dxa"/>
            </w:tcMar>
            <w:vAlign w:val="center"/>
          </w:tcPr>
          <w:p>
            <w:pPr>
              <w:spacing w:after="0" w:line="240" w:lineRule="auto"/>
            </w:pPr>
            <w:r>
              <w:rPr>
                <w:rFonts w:ascii="Aptos" w:hAnsi="Aptos"/>
                <w:color w:val="24303F"/>
                <w:sz w:val="16"/>
              </w:rPr>
              <w:t>NIST CSF status, evidence, gaps, priority, and owner</w:t>
            </w:r>
          </w:p>
        </w:tc>
      </w:tr>
      <w:tr>
        <w:tc>
          <w:tcPr>
            <w:tcW w:type="dxa" w:w="720"/>
            <w:shd w:fill="F4F7FA"/>
            <w:tcMar>
              <w:top w:w="60" w:type="dxa"/>
              <w:start w:w="80" w:type="dxa"/>
              <w:bottom w:w="60" w:type="dxa"/>
              <w:end w:w="80" w:type="dxa"/>
            </w:tcMar>
            <w:vAlign w:val="center"/>
          </w:tcPr>
          <w:p>
            <w:pPr>
              <w:spacing w:after="0" w:line="240" w:lineRule="auto"/>
            </w:pPr>
            <w:r>
              <w:rPr>
                <w:rFonts w:ascii="Aptos" w:hAnsi="Aptos"/>
                <w:color w:val="24303F"/>
                <w:sz w:val="16"/>
              </w:rPr>
              <w:t>4</w:t>
            </w:r>
          </w:p>
        </w:tc>
        <w:tc>
          <w:tcPr>
            <w:tcW w:type="dxa" w:w="2016"/>
            <w:shd w:fill="F4F7FA"/>
            <w:tcMar>
              <w:top w:w="60" w:type="dxa"/>
              <w:start w:w="80" w:type="dxa"/>
              <w:bottom w:w="60" w:type="dxa"/>
              <w:end w:w="80" w:type="dxa"/>
            </w:tcMar>
            <w:vAlign w:val="center"/>
          </w:tcPr>
          <w:p>
            <w:pPr>
              <w:spacing w:after="0" w:line="240" w:lineRule="auto"/>
            </w:pPr>
            <w:r>
              <w:rPr>
                <w:rFonts w:ascii="Aptos" w:hAnsi="Aptos"/>
                <w:color w:val="24303F"/>
                <w:sz w:val="16"/>
              </w:rPr>
              <w:t>Review assurance</w:t>
            </w:r>
          </w:p>
        </w:tc>
        <w:tc>
          <w:tcPr>
            <w:tcW w:type="dxa" w:w="7344"/>
            <w:shd w:fill="F4F7FA"/>
            <w:tcMar>
              <w:top w:w="60" w:type="dxa"/>
              <w:start w:w="80" w:type="dxa"/>
              <w:bottom w:w="60" w:type="dxa"/>
              <w:end w:w="80" w:type="dxa"/>
            </w:tcMar>
            <w:vAlign w:val="center"/>
          </w:tcPr>
          <w:p>
            <w:pPr>
              <w:spacing w:after="0" w:line="240" w:lineRule="auto"/>
            </w:pPr>
            <w:r>
              <w:rPr>
                <w:rFonts w:ascii="Aptos" w:hAnsi="Aptos"/>
                <w:color w:val="24303F"/>
                <w:sz w:val="16"/>
              </w:rPr>
              <w:t>Vendor and access exceptions converted into findings</w:t>
            </w:r>
          </w:p>
        </w:tc>
      </w:tr>
      <w:tr>
        <w:tc>
          <w:tcPr>
            <w:tcW w:type="dxa" w:w="720"/>
            <w:tcMar>
              <w:top w:w="60" w:type="dxa"/>
              <w:start w:w="80" w:type="dxa"/>
              <w:bottom w:w="60" w:type="dxa"/>
              <w:end w:w="80" w:type="dxa"/>
            </w:tcMar>
            <w:vAlign w:val="center"/>
          </w:tcPr>
          <w:p>
            <w:pPr>
              <w:spacing w:after="0" w:line="240" w:lineRule="auto"/>
            </w:pPr>
            <w:r>
              <w:rPr>
                <w:rFonts w:ascii="Aptos" w:hAnsi="Aptos"/>
                <w:color w:val="24303F"/>
                <w:sz w:val="16"/>
              </w:rPr>
              <w:t>5</w:t>
            </w:r>
          </w:p>
        </w:tc>
        <w:tc>
          <w:tcPr>
            <w:tcW w:type="dxa" w:w="2016"/>
            <w:tcMar>
              <w:top w:w="60" w:type="dxa"/>
              <w:start w:w="80" w:type="dxa"/>
              <w:bottom w:w="60" w:type="dxa"/>
              <w:end w:w="80" w:type="dxa"/>
            </w:tcMar>
            <w:vAlign w:val="center"/>
          </w:tcPr>
          <w:p>
            <w:pPr>
              <w:spacing w:after="0" w:line="240" w:lineRule="auto"/>
            </w:pPr>
            <w:r>
              <w:rPr>
                <w:rFonts w:ascii="Aptos" w:hAnsi="Aptos"/>
                <w:color w:val="24303F"/>
                <w:sz w:val="16"/>
              </w:rPr>
              <w:t>Prioritize action</w:t>
            </w:r>
          </w:p>
        </w:tc>
        <w:tc>
          <w:tcPr>
            <w:tcW w:type="dxa" w:w="7344"/>
            <w:tcMar>
              <w:top w:w="60" w:type="dxa"/>
              <w:start w:w="80" w:type="dxa"/>
              <w:bottom w:w="60" w:type="dxa"/>
              <w:end w:w="80" w:type="dxa"/>
            </w:tcMar>
            <w:vAlign w:val="center"/>
          </w:tcPr>
          <w:p>
            <w:pPr>
              <w:spacing w:after="0" w:line="240" w:lineRule="auto"/>
            </w:pPr>
            <w:r>
              <w:rPr>
                <w:rFonts w:ascii="Aptos" w:hAnsi="Aptos"/>
                <w:color w:val="24303F"/>
                <w:sz w:val="16"/>
              </w:rPr>
              <w:t>Owners, target dates, required evidence, and rationale</w:t>
            </w:r>
          </w:p>
        </w:tc>
      </w:tr>
      <w:tr>
        <w:tc>
          <w:tcPr>
            <w:tcW w:type="dxa" w:w="720"/>
            <w:shd w:fill="F4F7FA"/>
            <w:tcMar>
              <w:top w:w="60" w:type="dxa"/>
              <w:start w:w="80" w:type="dxa"/>
              <w:bottom w:w="60" w:type="dxa"/>
              <w:end w:w="80" w:type="dxa"/>
            </w:tcMar>
            <w:vAlign w:val="center"/>
          </w:tcPr>
          <w:p>
            <w:pPr>
              <w:spacing w:after="0" w:line="240" w:lineRule="auto"/>
            </w:pPr>
            <w:r>
              <w:rPr>
                <w:rFonts w:ascii="Aptos" w:hAnsi="Aptos"/>
                <w:color w:val="24303F"/>
                <w:sz w:val="16"/>
              </w:rPr>
              <w:t>6</w:t>
            </w:r>
          </w:p>
        </w:tc>
        <w:tc>
          <w:tcPr>
            <w:tcW w:type="dxa" w:w="2016"/>
            <w:shd w:fill="F4F7FA"/>
            <w:tcMar>
              <w:top w:w="60" w:type="dxa"/>
              <w:start w:w="80" w:type="dxa"/>
              <w:bottom w:w="60" w:type="dxa"/>
              <w:end w:w="80" w:type="dxa"/>
            </w:tcMar>
            <w:vAlign w:val="center"/>
          </w:tcPr>
          <w:p>
            <w:pPr>
              <w:spacing w:after="0" w:line="240" w:lineRule="auto"/>
            </w:pPr>
            <w:r>
              <w:rPr>
                <w:rFonts w:ascii="Aptos" w:hAnsi="Aptos"/>
                <w:color w:val="24303F"/>
                <w:sz w:val="16"/>
              </w:rPr>
              <w:t>Report decisions</w:t>
            </w:r>
          </w:p>
        </w:tc>
        <w:tc>
          <w:tcPr>
            <w:tcW w:type="dxa" w:w="7344"/>
            <w:shd w:fill="F4F7FA"/>
            <w:tcMar>
              <w:top w:w="60" w:type="dxa"/>
              <w:start w:w="80" w:type="dxa"/>
              <w:bottom w:w="60" w:type="dxa"/>
              <w:end w:w="80" w:type="dxa"/>
            </w:tcMar>
            <w:vAlign w:val="center"/>
          </w:tcPr>
          <w:p>
            <w:pPr>
              <w:spacing w:after="0" w:line="240" w:lineRule="auto"/>
            </w:pPr>
            <w:r>
              <w:rPr>
                <w:rFonts w:ascii="Aptos" w:hAnsi="Aptos"/>
                <w:color w:val="24303F"/>
                <w:sz w:val="16"/>
              </w:rPr>
              <w:t>Metrics, dashboards, roadmap, and management disposition</w:t>
            </w:r>
          </w:p>
        </w:tc>
      </w:tr>
    </w:tbl>
    <w:p>
      <w:pPr>
        <w:pStyle w:val="Heading2"/>
      </w:pPr>
      <w:r>
        <w:t>Scoring model</w:t>
      </w:r>
    </w:p>
    <w:p>
      <w:r>
        <w:t>Risk score = Likelihood (1–5) × Impact (1–5). Scores of 1–4 are Low, 5–9 Moderate, 10–16 High, and 17–25 Critical. Residual risk is the exposure remaining after current controls. Ratings support, but do not replace, risk-owner and leadership judgment.</w:t>
      </w:r>
    </w:p>
    <w:p>
      <w:r>
        <w:t>Limitation: Policy creation shows control design. Implementation requires approval, testing, operating records, and recurring review.</w:t>
      </w:r>
    </w:p>
    <w:p>
      <w:r>
        <w:br w:type="page"/>
      </w:r>
    </w:p>
    <w:p>
      <w:pPr>
        <w:pStyle w:val="Heading1"/>
      </w:pPr>
      <w:r>
        <w:t>3. Enterprise Risk Posture</w:t>
      </w:r>
    </w:p>
    <w:p>
      <w:pPr>
        <w:spacing w:after="100"/>
        <w:pBdr>
          <w:bottom w:val="single" w:sz="12" w:space="1" w:color="E5A823"/>
        </w:pBdr>
      </w:pPr>
    </w:p>
    <w:p>
      <w:r>
        <w:t>No risks remain Critical after current controls, but exposure is concentrated in the High category. Existing safeguards are not yet strong or mature enough to reduce most material scenarios to Moderate or Low.</w:t>
      </w:r>
    </w:p>
    <w:p>
      <w:pPr>
        <w:pStyle w:val="Heading2"/>
      </w:pPr>
      <w:r>
        <w:t>Highest-priority enterprise risks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1080"/>
            <w:shd w:fill="193B5B"/>
            <w:vAlign w:val="center"/>
            <w:tcMar>
              <w:top w:w="60" w:type="dxa"/>
              <w:start w:w="80" w:type="dxa"/>
              <w:bottom w:w="60" w:type="dxa"/>
              <w:end w:w="80" w:type="dxa"/>
            </w:tcMar>
          </w:tcPr>
          <w:p>
            <w:pPr>
              <w:spacing w:after="0"/>
            </w:pPr>
            <w:r>
              <w:rPr>
                <w:b/>
                <w:color w:val="FFFFFF"/>
                <w:sz w:val="15"/>
              </w:rPr>
              <w:t>ID</w:t>
            </w:r>
          </w:p>
        </w:tc>
        <w:tc>
          <w:tcPr>
            <w:tcW w:type="dxa" w:w="2376"/>
            <w:shd w:fill="193B5B"/>
            <w:vAlign w:val="center"/>
            <w:tcMar>
              <w:top w:w="60" w:type="dxa"/>
              <w:start w:w="80" w:type="dxa"/>
              <w:bottom w:w="60" w:type="dxa"/>
              <w:end w:w="80" w:type="dxa"/>
            </w:tcMar>
          </w:tcPr>
          <w:p>
            <w:pPr>
              <w:spacing w:after="0"/>
            </w:pPr>
            <w:r>
              <w:rPr>
                <w:b/>
                <w:color w:val="FFFFFF"/>
                <w:sz w:val="15"/>
              </w:rPr>
              <w:t>Scenario</w:t>
            </w:r>
          </w:p>
        </w:tc>
        <w:tc>
          <w:tcPr>
            <w:tcW w:type="dxa" w:w="1152"/>
            <w:shd w:fill="193B5B"/>
            <w:vAlign w:val="center"/>
            <w:tcMar>
              <w:top w:w="60" w:type="dxa"/>
              <w:start w:w="80" w:type="dxa"/>
              <w:bottom w:w="60" w:type="dxa"/>
              <w:end w:w="80" w:type="dxa"/>
            </w:tcMar>
          </w:tcPr>
          <w:p>
            <w:pPr>
              <w:spacing w:after="0"/>
            </w:pPr>
            <w:r>
              <w:rPr>
                <w:b/>
                <w:color w:val="FFFFFF"/>
                <w:sz w:val="15"/>
              </w:rPr>
              <w:t>Residual</w:t>
            </w:r>
          </w:p>
        </w:tc>
        <w:tc>
          <w:tcPr>
            <w:tcW w:type="dxa" w:w="5472"/>
            <w:shd w:fill="193B5B"/>
            <w:vAlign w:val="center"/>
            <w:tcMar>
              <w:top w:w="60" w:type="dxa"/>
              <w:start w:w="80" w:type="dxa"/>
              <w:bottom w:w="60" w:type="dxa"/>
              <w:end w:w="80" w:type="dxa"/>
            </w:tcMar>
          </w:tcPr>
          <w:p>
            <w:pPr>
              <w:spacing w:after="0"/>
            </w:pPr>
            <w:r>
              <w:rPr>
                <w:b/>
                <w:color w:val="FFFFFF"/>
                <w:sz w:val="15"/>
              </w:rPr>
              <w:t>Priority treatment</w:t>
            </w:r>
          </w:p>
        </w:tc>
      </w:tr>
      <w:tr>
        <w:tc>
          <w:tcPr>
            <w:tcW w:type="dxa" w:w="1080"/>
            <w:tcMar>
              <w:top w:w="60" w:type="dxa"/>
              <w:start w:w="80" w:type="dxa"/>
              <w:bottom w:w="60" w:type="dxa"/>
              <w:end w:w="80" w:type="dxa"/>
            </w:tcMar>
            <w:vAlign w:val="center"/>
          </w:tcPr>
          <w:p>
            <w:pPr>
              <w:spacing w:after="0" w:line="240" w:lineRule="auto"/>
            </w:pPr>
            <w:r>
              <w:rPr>
                <w:rFonts w:ascii="Aptos" w:hAnsi="Aptos"/>
                <w:color w:val="24303F"/>
                <w:sz w:val="15"/>
              </w:rPr>
              <w:t>TRN-R001</w:t>
            </w:r>
          </w:p>
        </w:tc>
        <w:tc>
          <w:tcPr>
            <w:tcW w:type="dxa" w:w="2376"/>
            <w:tcMar>
              <w:top w:w="60" w:type="dxa"/>
              <w:start w:w="80" w:type="dxa"/>
              <w:bottom w:w="60" w:type="dxa"/>
              <w:end w:w="80" w:type="dxa"/>
            </w:tcMar>
            <w:vAlign w:val="center"/>
          </w:tcPr>
          <w:p>
            <w:pPr>
              <w:spacing w:after="0" w:line="240" w:lineRule="auto"/>
            </w:pPr>
            <w:r>
              <w:rPr>
                <w:rFonts w:ascii="Aptos" w:hAnsi="Aptos"/>
                <w:color w:val="24303F"/>
                <w:sz w:val="15"/>
              </w:rPr>
              <w:t>Account compromise</w:t>
            </w:r>
          </w:p>
        </w:tc>
        <w:tc>
          <w:tcPr>
            <w:tcW w:type="dxa" w:w="1152"/>
            <w:tcMar>
              <w:top w:w="60" w:type="dxa"/>
              <w:start w:w="80" w:type="dxa"/>
              <w:bottom w:w="60" w:type="dxa"/>
              <w:end w:w="80" w:type="dxa"/>
            </w:tcMar>
            <w:vAlign w:val="center"/>
          </w:tcPr>
          <w:p>
            <w:pPr>
              <w:spacing w:after="0" w:line="240" w:lineRule="auto"/>
            </w:pPr>
            <w:r>
              <w:rPr>
                <w:rFonts w:ascii="Aptos" w:hAnsi="Aptos"/>
                <w:color w:val="24303F"/>
                <w:sz w:val="15"/>
              </w:rPr>
              <w:t>15 / High</w:t>
            </w:r>
          </w:p>
        </w:tc>
        <w:tc>
          <w:tcPr>
            <w:tcW w:type="dxa" w:w="5472"/>
            <w:tcMar>
              <w:top w:w="60" w:type="dxa"/>
              <w:start w:w="80" w:type="dxa"/>
              <w:bottom w:w="60" w:type="dxa"/>
              <w:end w:w="80" w:type="dxa"/>
            </w:tcMar>
            <w:vAlign w:val="center"/>
          </w:tcPr>
          <w:p>
            <w:pPr>
              <w:spacing w:after="0" w:line="240" w:lineRule="auto"/>
            </w:pPr>
            <w:r>
              <w:rPr>
                <w:rFonts w:ascii="Aptos" w:hAnsi="Aptos"/>
                <w:color w:val="24303F"/>
                <w:sz w:val="15"/>
              </w:rPr>
              <w:t>Customer MFA, credential screening, rate limiting, and stronger alerting</w:t>
            </w:r>
          </w:p>
        </w:tc>
      </w:tr>
      <w:tr>
        <w:tc>
          <w:tcPr>
            <w:tcW w:type="dxa" w:w="1080"/>
            <w:shd w:fill="F4F7FA"/>
            <w:tcMar>
              <w:top w:w="60" w:type="dxa"/>
              <w:start w:w="80" w:type="dxa"/>
              <w:bottom w:w="60" w:type="dxa"/>
              <w:end w:w="80" w:type="dxa"/>
            </w:tcMar>
            <w:vAlign w:val="center"/>
          </w:tcPr>
          <w:p>
            <w:pPr>
              <w:spacing w:after="0" w:line="240" w:lineRule="auto"/>
            </w:pPr>
            <w:r>
              <w:rPr>
                <w:rFonts w:ascii="Aptos" w:hAnsi="Aptos"/>
                <w:color w:val="24303F"/>
                <w:sz w:val="15"/>
              </w:rPr>
              <w:t>TRN-R006</w:t>
            </w:r>
          </w:p>
        </w:tc>
        <w:tc>
          <w:tcPr>
            <w:tcW w:type="dxa" w:w="2376"/>
            <w:shd w:fill="F4F7FA"/>
            <w:tcMar>
              <w:top w:w="60" w:type="dxa"/>
              <w:start w:w="80" w:type="dxa"/>
              <w:bottom w:w="60" w:type="dxa"/>
              <w:end w:w="80" w:type="dxa"/>
            </w:tcMar>
            <w:vAlign w:val="center"/>
          </w:tcPr>
          <w:p>
            <w:pPr>
              <w:spacing w:after="0" w:line="240" w:lineRule="auto"/>
            </w:pPr>
            <w:r>
              <w:rPr>
                <w:rFonts w:ascii="Aptos" w:hAnsi="Aptos"/>
                <w:color w:val="24303F"/>
                <w:sz w:val="15"/>
              </w:rPr>
              <w:t>Unpatched application vulnerability</w:t>
            </w:r>
          </w:p>
        </w:tc>
        <w:tc>
          <w:tcPr>
            <w:tcW w:type="dxa" w:w="1152"/>
            <w:shd w:fill="F4F7FA"/>
            <w:tcMar>
              <w:top w:w="60" w:type="dxa"/>
              <w:start w:w="80" w:type="dxa"/>
              <w:bottom w:w="60" w:type="dxa"/>
              <w:end w:w="80" w:type="dxa"/>
            </w:tcMar>
            <w:vAlign w:val="center"/>
          </w:tcPr>
          <w:p>
            <w:pPr>
              <w:spacing w:after="0" w:line="240" w:lineRule="auto"/>
            </w:pPr>
            <w:r>
              <w:rPr>
                <w:rFonts w:ascii="Aptos" w:hAnsi="Aptos"/>
                <w:color w:val="24303F"/>
                <w:sz w:val="15"/>
              </w:rPr>
              <w:t>15 / High</w:t>
            </w:r>
          </w:p>
        </w:tc>
        <w:tc>
          <w:tcPr>
            <w:tcW w:type="dxa" w:w="5472"/>
            <w:shd w:fill="F4F7FA"/>
            <w:tcMar>
              <w:top w:w="60" w:type="dxa"/>
              <w:start w:w="80" w:type="dxa"/>
              <w:bottom w:w="60" w:type="dxa"/>
              <w:end w:w="80" w:type="dxa"/>
            </w:tcMar>
            <w:vAlign w:val="center"/>
          </w:tcPr>
          <w:p>
            <w:pPr>
              <w:spacing w:after="0" w:line="240" w:lineRule="auto"/>
            </w:pPr>
            <w:r>
              <w:rPr>
                <w:rFonts w:ascii="Aptos" w:hAnsi="Aptos"/>
                <w:color w:val="24303F"/>
                <w:sz w:val="15"/>
              </w:rPr>
              <w:t>Automated scanning and severity-based remediation deadlines</w:t>
            </w:r>
          </w:p>
        </w:tc>
      </w:tr>
      <w:tr>
        <w:tc>
          <w:tcPr>
            <w:tcW w:type="dxa" w:w="1080"/>
            <w:tcMar>
              <w:top w:w="60" w:type="dxa"/>
              <w:start w:w="80" w:type="dxa"/>
              <w:bottom w:w="60" w:type="dxa"/>
              <w:end w:w="80" w:type="dxa"/>
            </w:tcMar>
            <w:vAlign w:val="center"/>
          </w:tcPr>
          <w:p>
            <w:pPr>
              <w:spacing w:after="0" w:line="240" w:lineRule="auto"/>
            </w:pPr>
            <w:r>
              <w:rPr>
                <w:rFonts w:ascii="Aptos" w:hAnsi="Aptos"/>
                <w:color w:val="24303F"/>
                <w:sz w:val="15"/>
              </w:rPr>
              <w:t>TRN-R003</w:t>
            </w:r>
          </w:p>
        </w:tc>
        <w:tc>
          <w:tcPr>
            <w:tcW w:type="dxa" w:w="2376"/>
            <w:tcMar>
              <w:top w:w="60" w:type="dxa"/>
              <w:start w:w="80" w:type="dxa"/>
              <w:bottom w:w="60" w:type="dxa"/>
              <w:end w:w="80" w:type="dxa"/>
            </w:tcMar>
            <w:vAlign w:val="center"/>
          </w:tcPr>
          <w:p>
            <w:pPr>
              <w:spacing w:after="0" w:line="240" w:lineRule="auto"/>
            </w:pPr>
            <w:r>
              <w:rPr>
                <w:rFonts w:ascii="Aptos" w:hAnsi="Aptos"/>
                <w:color w:val="24303F"/>
                <w:sz w:val="15"/>
              </w:rPr>
              <w:t>Excessive privileged access</w:t>
            </w:r>
          </w:p>
        </w:tc>
        <w:tc>
          <w:tcPr>
            <w:tcW w:type="dxa" w:w="1152"/>
            <w:tcMar>
              <w:top w:w="60" w:type="dxa"/>
              <w:start w:w="80" w:type="dxa"/>
              <w:bottom w:w="60" w:type="dxa"/>
              <w:end w:w="80" w:type="dxa"/>
            </w:tcMar>
            <w:vAlign w:val="center"/>
          </w:tcPr>
          <w:p>
            <w:pPr>
              <w:spacing w:after="0" w:line="240" w:lineRule="auto"/>
            </w:pPr>
            <w:r>
              <w:rPr>
                <w:rFonts w:ascii="Aptos" w:hAnsi="Aptos"/>
                <w:color w:val="24303F"/>
                <w:sz w:val="15"/>
              </w:rPr>
              <w:t>12 / High</w:t>
            </w:r>
          </w:p>
        </w:tc>
        <w:tc>
          <w:tcPr>
            <w:tcW w:type="dxa" w:w="5472"/>
            <w:tcMar>
              <w:top w:w="60" w:type="dxa"/>
              <w:start w:w="80" w:type="dxa"/>
              <w:bottom w:w="60" w:type="dxa"/>
              <w:end w:w="80" w:type="dxa"/>
            </w:tcMar>
            <w:vAlign w:val="center"/>
          </w:tcPr>
          <w:p>
            <w:pPr>
              <w:spacing w:after="0" w:line="240" w:lineRule="auto"/>
            </w:pPr>
            <w:r>
              <w:rPr>
                <w:rFonts w:ascii="Aptos" w:hAnsi="Aptos"/>
                <w:color w:val="24303F"/>
                <w:sz w:val="15"/>
              </w:rPr>
              <w:t>Least-privilege roles, approvals, quarterly reviews, and monitoring</w:t>
            </w:r>
          </w:p>
        </w:tc>
      </w:tr>
      <w:tr>
        <w:tc>
          <w:tcPr>
            <w:tcW w:type="dxa" w:w="1080"/>
            <w:shd w:fill="F4F7FA"/>
            <w:tcMar>
              <w:top w:w="60" w:type="dxa"/>
              <w:start w:w="80" w:type="dxa"/>
              <w:bottom w:w="60" w:type="dxa"/>
              <w:end w:w="80" w:type="dxa"/>
            </w:tcMar>
            <w:vAlign w:val="center"/>
          </w:tcPr>
          <w:p>
            <w:pPr>
              <w:spacing w:after="0" w:line="240" w:lineRule="auto"/>
            </w:pPr>
            <w:r>
              <w:rPr>
                <w:rFonts w:ascii="Aptos" w:hAnsi="Aptos"/>
                <w:color w:val="24303F"/>
                <w:sz w:val="15"/>
              </w:rPr>
              <w:t>TRN-R011</w:t>
            </w:r>
          </w:p>
        </w:tc>
        <w:tc>
          <w:tcPr>
            <w:tcW w:type="dxa" w:w="2376"/>
            <w:shd w:fill="F4F7FA"/>
            <w:tcMar>
              <w:top w:w="60" w:type="dxa"/>
              <w:start w:w="80" w:type="dxa"/>
              <w:bottom w:w="60" w:type="dxa"/>
              <w:end w:w="80" w:type="dxa"/>
            </w:tcMar>
            <w:vAlign w:val="center"/>
          </w:tcPr>
          <w:p>
            <w:pPr>
              <w:spacing w:after="0" w:line="240" w:lineRule="auto"/>
            </w:pPr>
            <w:r>
              <w:rPr>
                <w:rFonts w:ascii="Aptos" w:hAnsi="Aptos"/>
                <w:color w:val="24303F"/>
                <w:sz w:val="15"/>
              </w:rPr>
              <w:t>Backup restoration failure</w:t>
            </w:r>
          </w:p>
        </w:tc>
        <w:tc>
          <w:tcPr>
            <w:tcW w:type="dxa" w:w="1152"/>
            <w:shd w:fill="F4F7FA"/>
            <w:tcMar>
              <w:top w:w="60" w:type="dxa"/>
              <w:start w:w="80" w:type="dxa"/>
              <w:bottom w:w="60" w:type="dxa"/>
              <w:end w:w="80" w:type="dxa"/>
            </w:tcMar>
            <w:vAlign w:val="center"/>
          </w:tcPr>
          <w:p>
            <w:pPr>
              <w:spacing w:after="0" w:line="240" w:lineRule="auto"/>
            </w:pPr>
            <w:r>
              <w:rPr>
                <w:rFonts w:ascii="Aptos" w:hAnsi="Aptos"/>
                <w:color w:val="24303F"/>
                <w:sz w:val="15"/>
              </w:rPr>
              <w:t>12 / High</w:t>
            </w:r>
          </w:p>
        </w:tc>
        <w:tc>
          <w:tcPr>
            <w:tcW w:type="dxa" w:w="5472"/>
            <w:shd w:fill="F4F7FA"/>
            <w:tcMar>
              <w:top w:w="60" w:type="dxa"/>
              <w:start w:w="80" w:type="dxa"/>
              <w:bottom w:w="60" w:type="dxa"/>
              <w:end w:w="80" w:type="dxa"/>
            </w:tcMar>
            <w:vAlign w:val="center"/>
          </w:tcPr>
          <w:p>
            <w:pPr>
              <w:spacing w:after="0" w:line="240" w:lineRule="auto"/>
            </w:pPr>
            <w:r>
              <w:rPr>
                <w:rFonts w:ascii="Aptos" w:hAnsi="Aptos"/>
                <w:color w:val="24303F"/>
                <w:sz w:val="15"/>
              </w:rPr>
              <w:t>Recovery objectives, isolated backups, and quarterly restoration tests</w:t>
            </w:r>
          </w:p>
        </w:tc>
      </w:tr>
      <w:tr>
        <w:tc>
          <w:tcPr>
            <w:tcW w:type="dxa" w:w="1080"/>
            <w:tcMar>
              <w:top w:w="60" w:type="dxa"/>
              <w:start w:w="80" w:type="dxa"/>
              <w:bottom w:w="60" w:type="dxa"/>
              <w:end w:w="80" w:type="dxa"/>
            </w:tcMar>
            <w:vAlign w:val="center"/>
          </w:tcPr>
          <w:p>
            <w:pPr>
              <w:spacing w:after="0" w:line="240" w:lineRule="auto"/>
            </w:pPr>
            <w:r>
              <w:rPr>
                <w:rFonts w:ascii="Aptos" w:hAnsi="Aptos"/>
                <w:color w:val="24303F"/>
                <w:sz w:val="15"/>
              </w:rPr>
              <w:t>TRN-R012</w:t>
            </w:r>
          </w:p>
        </w:tc>
        <w:tc>
          <w:tcPr>
            <w:tcW w:type="dxa" w:w="2376"/>
            <w:tcMar>
              <w:top w:w="60" w:type="dxa"/>
              <w:start w:w="80" w:type="dxa"/>
              <w:bottom w:w="60" w:type="dxa"/>
              <w:end w:w="80" w:type="dxa"/>
            </w:tcMar>
            <w:vAlign w:val="center"/>
          </w:tcPr>
          <w:p>
            <w:pPr>
              <w:spacing w:after="0" w:line="240" w:lineRule="auto"/>
            </w:pPr>
            <w:r>
              <w:rPr>
                <w:rFonts w:ascii="Aptos" w:hAnsi="Aptos"/>
                <w:color w:val="24303F"/>
                <w:sz w:val="15"/>
              </w:rPr>
              <w:t>Insufficient security monitoring</w:t>
            </w:r>
          </w:p>
        </w:tc>
        <w:tc>
          <w:tcPr>
            <w:tcW w:type="dxa" w:w="1152"/>
            <w:tcMar>
              <w:top w:w="60" w:type="dxa"/>
              <w:start w:w="80" w:type="dxa"/>
              <w:bottom w:w="60" w:type="dxa"/>
              <w:end w:w="80" w:type="dxa"/>
            </w:tcMar>
            <w:vAlign w:val="center"/>
          </w:tcPr>
          <w:p>
            <w:pPr>
              <w:spacing w:after="0" w:line="240" w:lineRule="auto"/>
            </w:pPr>
            <w:r>
              <w:rPr>
                <w:rFonts w:ascii="Aptos" w:hAnsi="Aptos"/>
                <w:color w:val="24303F"/>
                <w:sz w:val="15"/>
              </w:rPr>
              <w:t>12 / High</w:t>
            </w:r>
          </w:p>
        </w:tc>
        <w:tc>
          <w:tcPr>
            <w:tcW w:type="dxa" w:w="5472"/>
            <w:tcMar>
              <w:top w:w="60" w:type="dxa"/>
              <w:start w:w="80" w:type="dxa"/>
              <w:bottom w:w="60" w:type="dxa"/>
              <w:end w:w="80" w:type="dxa"/>
            </w:tcMar>
            <w:vAlign w:val="center"/>
          </w:tcPr>
          <w:p>
            <w:pPr>
              <w:spacing w:after="0" w:line="240" w:lineRule="auto"/>
            </w:pPr>
            <w:r>
              <w:rPr>
                <w:rFonts w:ascii="Aptos" w:hAnsi="Aptos"/>
                <w:color w:val="24303F"/>
                <w:sz w:val="15"/>
              </w:rPr>
              <w:t>Centralized logs, alert ownership, and escalation testing</w:t>
            </w:r>
          </w:p>
        </w:tc>
      </w:tr>
      <w:tr>
        <w:tc>
          <w:tcPr>
            <w:tcW w:type="dxa" w:w="1080"/>
            <w:shd w:fill="F4F7FA"/>
            <w:tcMar>
              <w:top w:w="60" w:type="dxa"/>
              <w:start w:w="80" w:type="dxa"/>
              <w:bottom w:w="60" w:type="dxa"/>
              <w:end w:w="80" w:type="dxa"/>
            </w:tcMar>
            <w:vAlign w:val="center"/>
          </w:tcPr>
          <w:p>
            <w:pPr>
              <w:spacing w:after="0" w:line="240" w:lineRule="auto"/>
            </w:pPr>
            <w:r>
              <w:rPr>
                <w:rFonts w:ascii="Aptos" w:hAnsi="Aptos"/>
                <w:color w:val="24303F"/>
                <w:sz w:val="15"/>
              </w:rPr>
              <w:t>TRN-R013</w:t>
            </w:r>
          </w:p>
        </w:tc>
        <w:tc>
          <w:tcPr>
            <w:tcW w:type="dxa" w:w="2376"/>
            <w:shd w:fill="F4F7FA"/>
            <w:tcMar>
              <w:top w:w="60" w:type="dxa"/>
              <w:start w:w="80" w:type="dxa"/>
              <w:bottom w:w="60" w:type="dxa"/>
              <w:end w:w="80" w:type="dxa"/>
            </w:tcMar>
            <w:vAlign w:val="center"/>
          </w:tcPr>
          <w:p>
            <w:pPr>
              <w:spacing w:after="0" w:line="240" w:lineRule="auto"/>
            </w:pPr>
            <w:r>
              <w:rPr>
                <w:rFonts w:ascii="Aptos" w:hAnsi="Aptos"/>
                <w:color w:val="24303F"/>
                <w:sz w:val="15"/>
              </w:rPr>
              <w:t>Inadequate privacy and consent</w:t>
            </w:r>
          </w:p>
        </w:tc>
        <w:tc>
          <w:tcPr>
            <w:tcW w:type="dxa" w:w="1152"/>
            <w:shd w:fill="F4F7FA"/>
            <w:tcMar>
              <w:top w:w="60" w:type="dxa"/>
              <w:start w:w="80" w:type="dxa"/>
              <w:bottom w:w="60" w:type="dxa"/>
              <w:end w:w="80" w:type="dxa"/>
            </w:tcMar>
            <w:vAlign w:val="center"/>
          </w:tcPr>
          <w:p>
            <w:pPr>
              <w:spacing w:after="0" w:line="240" w:lineRule="auto"/>
            </w:pPr>
            <w:r>
              <w:rPr>
                <w:rFonts w:ascii="Aptos" w:hAnsi="Aptos"/>
                <w:color w:val="24303F"/>
                <w:sz w:val="15"/>
              </w:rPr>
              <w:t>12 / High</w:t>
            </w:r>
          </w:p>
        </w:tc>
        <w:tc>
          <w:tcPr>
            <w:tcW w:type="dxa" w:w="5472"/>
            <w:shd w:fill="F4F7FA"/>
            <w:tcMar>
              <w:top w:w="60" w:type="dxa"/>
              <w:start w:w="80" w:type="dxa"/>
              <w:bottom w:w="60" w:type="dxa"/>
              <w:end w:w="80" w:type="dxa"/>
            </w:tcMar>
            <w:vAlign w:val="center"/>
          </w:tcPr>
          <w:p>
            <w:pPr>
              <w:spacing w:after="0" w:line="240" w:lineRule="auto"/>
            </w:pPr>
            <w:r>
              <w:rPr>
                <w:rFonts w:ascii="Aptos" w:hAnsi="Aptos"/>
                <w:color w:val="24303F"/>
                <w:sz w:val="15"/>
              </w:rPr>
              <w:t>Data inventory, consent evidence, retention, and deletion workflow</w:t>
            </w:r>
          </w:p>
        </w:tc>
      </w:tr>
    </w:tbl>
    <w:p>
      <w:pPr>
        <w:pStyle w:val="Heading2"/>
      </w:pPr>
      <w:r>
        <w:t>Risk treatment position</w:t>
      </w:r>
    </w:p>
    <w:p>
      <w:r>
        <w:t>Mitigation is the dominant treatment. Transfer applies selectively to third-party services. Monitoring is appropriate only when ownership, thresholds, contingency measures, and escalation are documented. Operational teams should not accept High risk without defined authority and a recorded rationale.</w:t>
      </w:r>
    </w:p>
    <w:p>
      <w:pPr>
        <w:pStyle w:val="Heading2"/>
      </w:pPr>
      <w:r>
        <w:t>Modeled effect of planned treatment</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fill="193B5B"/>
            <w:vAlign w:val="center"/>
            <w:tcMar>
              <w:top w:w="60" w:type="dxa"/>
              <w:start w:w="80" w:type="dxa"/>
              <w:bottom w:w="60" w:type="dxa"/>
              <w:end w:w="80" w:type="dxa"/>
            </w:tcMar>
          </w:tcPr>
          <w:p>
            <w:pPr>
              <w:spacing w:after="0"/>
            </w:pPr>
            <w:r>
              <w:rPr>
                <w:b/>
                <w:color w:val="FFFFFF"/>
                <w:sz w:val="16"/>
              </w:rPr>
              <w:t>Measure</w:t>
            </w:r>
          </w:p>
        </w:tc>
        <w:tc>
          <w:tcPr>
            <w:tcW w:type="dxa" w:w="3408"/>
            <w:shd w:fill="193B5B"/>
            <w:vAlign w:val="center"/>
            <w:tcMar>
              <w:top w:w="60" w:type="dxa"/>
              <w:start w:w="80" w:type="dxa"/>
              <w:bottom w:w="60" w:type="dxa"/>
              <w:end w:w="80" w:type="dxa"/>
            </w:tcMar>
          </w:tcPr>
          <w:p>
            <w:pPr>
              <w:spacing w:after="0"/>
            </w:pPr>
            <w:r>
              <w:rPr>
                <w:b/>
                <w:color w:val="FFFFFF"/>
                <w:sz w:val="16"/>
              </w:rPr>
              <w:t>Baseline</w:t>
            </w:r>
          </w:p>
        </w:tc>
        <w:tc>
          <w:tcPr>
            <w:tcW w:type="dxa" w:w="3408"/>
            <w:shd w:fill="193B5B"/>
            <w:vAlign w:val="center"/>
            <w:tcMar>
              <w:top w:w="60" w:type="dxa"/>
              <w:start w:w="80" w:type="dxa"/>
              <w:bottom w:w="60" w:type="dxa"/>
              <w:end w:w="80" w:type="dxa"/>
            </w:tcMar>
          </w:tcPr>
          <w:p>
            <w:pPr>
              <w:spacing w:after="0"/>
            </w:pPr>
            <w:r>
              <w:rPr>
                <w:b/>
                <w:color w:val="FFFFFF"/>
                <w:sz w:val="16"/>
              </w:rPr>
              <w:t>After planned treatment</w:t>
            </w:r>
          </w:p>
        </w:tc>
      </w:tr>
      <w:tr>
        <w:tc>
          <w:tcPr>
            <w:tcW w:type="dxa" w:w="3408"/>
            <w:tcMar>
              <w:top w:w="60" w:type="dxa"/>
              <w:start w:w="80" w:type="dxa"/>
              <w:bottom w:w="60" w:type="dxa"/>
              <w:end w:w="80" w:type="dxa"/>
            </w:tcMar>
            <w:vAlign w:val="center"/>
          </w:tcPr>
          <w:p>
            <w:pPr>
              <w:spacing w:after="0" w:line="240" w:lineRule="auto"/>
            </w:pPr>
            <w:r>
              <w:rPr>
                <w:rFonts w:ascii="Aptos" w:hAnsi="Aptos"/>
                <w:color w:val="24303F"/>
                <w:sz w:val="16"/>
              </w:rPr>
              <w:t>Aggregate modeled score</w:t>
            </w:r>
          </w:p>
        </w:tc>
        <w:tc>
          <w:tcPr>
            <w:tcW w:type="dxa" w:w="3408"/>
            <w:tcMar>
              <w:top w:w="60" w:type="dxa"/>
              <w:start w:w="80" w:type="dxa"/>
              <w:bottom w:w="60" w:type="dxa"/>
              <w:end w:w="80" w:type="dxa"/>
            </w:tcMar>
            <w:vAlign w:val="center"/>
          </w:tcPr>
          <w:p>
            <w:pPr>
              <w:spacing w:after="0" w:line="240" w:lineRule="auto"/>
            </w:pPr>
            <w:r>
              <w:rPr>
                <w:rFonts w:ascii="Aptos" w:hAnsi="Aptos"/>
                <w:color w:val="24303F"/>
                <w:sz w:val="16"/>
              </w:rPr>
              <w:t>Inherent risk baseline</w:t>
            </w:r>
          </w:p>
        </w:tc>
        <w:tc>
          <w:tcPr>
            <w:tcW w:type="dxa" w:w="3408"/>
            <w:tcMar>
              <w:top w:w="60" w:type="dxa"/>
              <w:start w:w="80" w:type="dxa"/>
              <w:bottom w:w="60" w:type="dxa"/>
              <w:end w:w="80" w:type="dxa"/>
            </w:tcMar>
            <w:vAlign w:val="center"/>
          </w:tcPr>
          <w:p>
            <w:pPr>
              <w:spacing w:after="0" w:line="240" w:lineRule="auto"/>
            </w:pPr>
            <w:r>
              <w:rPr>
                <w:rFonts w:ascii="Aptos" w:hAnsi="Aptos"/>
                <w:color w:val="24303F"/>
                <w:sz w:val="16"/>
              </w:rPr>
              <w:t>Approximately 28% lower residual exposure</w:t>
            </w:r>
          </w:p>
        </w:tc>
      </w:tr>
      <w:tr>
        <w:tc>
          <w:tcPr>
            <w:tcW w:type="dxa" w:w="3408"/>
            <w:shd w:fill="F4F7FA"/>
            <w:tcMar>
              <w:top w:w="60" w:type="dxa"/>
              <w:start w:w="80" w:type="dxa"/>
              <w:bottom w:w="60" w:type="dxa"/>
              <w:end w:w="80" w:type="dxa"/>
            </w:tcMar>
            <w:vAlign w:val="center"/>
          </w:tcPr>
          <w:p>
            <w:pPr>
              <w:spacing w:after="0" w:line="240" w:lineRule="auto"/>
            </w:pPr>
            <w:r>
              <w:rPr>
                <w:rFonts w:ascii="Aptos" w:hAnsi="Aptos"/>
                <w:color w:val="24303F"/>
                <w:sz w:val="16"/>
              </w:rPr>
              <w:t>High residual risks</w:t>
            </w:r>
          </w:p>
        </w:tc>
        <w:tc>
          <w:tcPr>
            <w:tcW w:type="dxa" w:w="3408"/>
            <w:shd w:fill="F4F7FA"/>
            <w:tcMar>
              <w:top w:w="60" w:type="dxa"/>
              <w:start w:w="80" w:type="dxa"/>
              <w:bottom w:w="60" w:type="dxa"/>
              <w:end w:w="80" w:type="dxa"/>
            </w:tcMar>
            <w:vAlign w:val="center"/>
          </w:tcPr>
          <w:p>
            <w:pPr>
              <w:spacing w:after="0" w:line="240" w:lineRule="auto"/>
            </w:pPr>
            <w:r>
              <w:rPr>
                <w:rFonts w:ascii="Aptos" w:hAnsi="Aptos"/>
                <w:color w:val="24303F"/>
                <w:sz w:val="16"/>
              </w:rPr>
              <w:t>11 of 15</w:t>
            </w:r>
          </w:p>
        </w:tc>
        <w:tc>
          <w:tcPr>
            <w:tcW w:type="dxa" w:w="3408"/>
            <w:shd w:fill="F4F7FA"/>
            <w:tcMar>
              <w:top w:w="60" w:type="dxa"/>
              <w:start w:w="80" w:type="dxa"/>
              <w:bottom w:w="60" w:type="dxa"/>
              <w:end w:w="80" w:type="dxa"/>
            </w:tcMar>
            <w:vAlign w:val="center"/>
          </w:tcPr>
          <w:p>
            <w:pPr>
              <w:spacing w:after="0" w:line="240" w:lineRule="auto"/>
            </w:pPr>
            <w:r>
              <w:rPr>
                <w:rFonts w:ascii="Aptos" w:hAnsi="Aptos"/>
                <w:color w:val="24303F"/>
                <w:sz w:val="16"/>
              </w:rPr>
              <w:t>Reassess after evidence confirms control operation</w:t>
            </w:r>
          </w:p>
        </w:tc>
      </w:tr>
      <w:tr>
        <w:tc>
          <w:tcPr>
            <w:tcW w:type="dxa" w:w="3408"/>
            <w:tcMar>
              <w:top w:w="60" w:type="dxa"/>
              <w:start w:w="80" w:type="dxa"/>
              <w:bottom w:w="60" w:type="dxa"/>
              <w:end w:w="80" w:type="dxa"/>
            </w:tcMar>
            <w:vAlign w:val="center"/>
          </w:tcPr>
          <w:p>
            <w:pPr>
              <w:spacing w:after="0" w:line="240" w:lineRule="auto"/>
            </w:pPr>
            <w:r>
              <w:rPr>
                <w:rFonts w:ascii="Aptos" w:hAnsi="Aptos"/>
                <w:color w:val="24303F"/>
                <w:sz w:val="16"/>
              </w:rPr>
              <w:t>Critical residual risks</w:t>
            </w:r>
          </w:p>
        </w:tc>
        <w:tc>
          <w:tcPr>
            <w:tcW w:type="dxa" w:w="3408"/>
            <w:tcMar>
              <w:top w:w="60" w:type="dxa"/>
              <w:start w:w="80" w:type="dxa"/>
              <w:bottom w:w="60" w:type="dxa"/>
              <w:end w:w="80" w:type="dxa"/>
            </w:tcMar>
            <w:vAlign w:val="center"/>
          </w:tcPr>
          <w:p>
            <w:pPr>
              <w:spacing w:after="0" w:line="240" w:lineRule="auto"/>
            </w:pPr>
            <w:r>
              <w:rPr>
                <w:rFonts w:ascii="Aptos" w:hAnsi="Aptos"/>
                <w:color w:val="24303F"/>
                <w:sz w:val="16"/>
              </w:rPr>
              <w:t>0</w:t>
            </w:r>
          </w:p>
        </w:tc>
        <w:tc>
          <w:tcPr>
            <w:tcW w:type="dxa" w:w="3408"/>
            <w:tcMar>
              <w:top w:w="60" w:type="dxa"/>
              <w:start w:w="80" w:type="dxa"/>
              <w:bottom w:w="60" w:type="dxa"/>
              <w:end w:w="80" w:type="dxa"/>
            </w:tcMar>
            <w:vAlign w:val="center"/>
          </w:tcPr>
          <w:p>
            <w:pPr>
              <w:spacing w:after="0" w:line="240" w:lineRule="auto"/>
            </w:pPr>
            <w:r>
              <w:rPr>
                <w:rFonts w:ascii="Aptos" w:hAnsi="Aptos"/>
                <w:color w:val="24303F"/>
                <w:sz w:val="16"/>
              </w:rPr>
              <w:t>Maintain monitoring and escalation thresholds</w:t>
            </w:r>
          </w:p>
        </w:tc>
      </w:tr>
    </w:tbl>
    <w:p>
      <w:r>
        <w:br w:type="page"/>
      </w:r>
    </w:p>
    <w:p>
      <w:pPr>
        <w:pStyle w:val="Heading1"/>
      </w:pPr>
      <w:r>
        <w:t>4. Control Maturity and NIST CSF Alignment</w:t>
      </w:r>
    </w:p>
    <w:p>
      <w:pPr>
        <w:spacing w:after="100"/>
        <w:pBdr>
          <w:bottom w:val="single" w:sz="12" w:space="1" w:color="E5A823"/>
        </w:pBdr>
      </w:pPr>
    </w:p>
    <w:p>
      <w:r>
        <w:t>The assessment reviewed 22 selected NIST CSF 2.0 outcomes. Three are Implemented, 16 are Partial, and three are Not Implemented, producing a weighted maturity score of 50%.</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1152"/>
            <w:shd w:fill="193B5B"/>
            <w:vAlign w:val="center"/>
            <w:tcMar>
              <w:top w:w="60" w:type="dxa"/>
              <w:start w:w="80" w:type="dxa"/>
              <w:bottom w:w="60" w:type="dxa"/>
              <w:end w:w="80" w:type="dxa"/>
            </w:tcMar>
          </w:tcPr>
          <w:p>
            <w:pPr>
              <w:spacing w:after="0"/>
            </w:pPr>
            <w:r>
              <w:rPr>
                <w:b/>
                <w:color w:val="FFFFFF"/>
                <w:sz w:val="16"/>
              </w:rPr>
              <w:t>Function</w:t>
            </w:r>
          </w:p>
        </w:tc>
        <w:tc>
          <w:tcPr>
            <w:tcW w:type="dxa" w:w="1008"/>
            <w:shd w:fill="193B5B"/>
            <w:vAlign w:val="center"/>
            <w:tcMar>
              <w:top w:w="60" w:type="dxa"/>
              <w:start w:w="80" w:type="dxa"/>
              <w:bottom w:w="60" w:type="dxa"/>
              <w:end w:w="80" w:type="dxa"/>
            </w:tcMar>
          </w:tcPr>
          <w:p>
            <w:pPr>
              <w:spacing w:after="0"/>
            </w:pPr>
            <w:r>
              <w:rPr>
                <w:b/>
                <w:color w:val="FFFFFF"/>
                <w:sz w:val="16"/>
              </w:rPr>
              <w:t>Outcomes</w:t>
            </w:r>
          </w:p>
        </w:tc>
        <w:tc>
          <w:tcPr>
            <w:tcW w:type="dxa" w:w="1152"/>
            <w:shd w:fill="193B5B"/>
            <w:vAlign w:val="center"/>
            <w:tcMar>
              <w:top w:w="60" w:type="dxa"/>
              <w:start w:w="80" w:type="dxa"/>
              <w:bottom w:w="60" w:type="dxa"/>
              <w:end w:w="80" w:type="dxa"/>
            </w:tcMar>
          </w:tcPr>
          <w:p>
            <w:pPr>
              <w:spacing w:after="0"/>
            </w:pPr>
            <w:r>
              <w:rPr>
                <w:b/>
                <w:color w:val="FFFFFF"/>
                <w:sz w:val="16"/>
              </w:rPr>
              <w:t>Maturity</w:t>
            </w:r>
          </w:p>
        </w:tc>
        <w:tc>
          <w:tcPr>
            <w:tcW w:type="dxa" w:w="6768"/>
            <w:shd w:fill="193B5B"/>
            <w:vAlign w:val="center"/>
            <w:tcMar>
              <w:top w:w="60" w:type="dxa"/>
              <w:start w:w="80" w:type="dxa"/>
              <w:bottom w:w="60" w:type="dxa"/>
              <w:end w:w="80" w:type="dxa"/>
            </w:tcMar>
          </w:tcPr>
          <w:p>
            <w:pPr>
              <w:spacing w:after="0"/>
            </w:pPr>
            <w:r>
              <w:rPr>
                <w:b/>
                <w:color w:val="FFFFFF"/>
                <w:sz w:val="16"/>
              </w:rPr>
              <w:t>Management focus</w:t>
            </w:r>
          </w:p>
        </w:tc>
      </w:tr>
      <w:tr>
        <w:tc>
          <w:tcPr>
            <w:tcW w:type="dxa" w:w="1152"/>
            <w:tcMar>
              <w:top w:w="60" w:type="dxa"/>
              <w:start w:w="80" w:type="dxa"/>
              <w:bottom w:w="60" w:type="dxa"/>
              <w:end w:w="80" w:type="dxa"/>
            </w:tcMar>
            <w:vAlign w:val="center"/>
          </w:tcPr>
          <w:p>
            <w:pPr>
              <w:spacing w:after="0" w:line="240" w:lineRule="auto"/>
            </w:pPr>
            <w:r>
              <w:rPr>
                <w:rFonts w:ascii="Aptos" w:hAnsi="Aptos"/>
                <w:color w:val="24303F"/>
                <w:sz w:val="16"/>
              </w:rPr>
              <w:t>Govern</w:t>
            </w:r>
          </w:p>
        </w:tc>
        <w:tc>
          <w:tcPr>
            <w:tcW w:type="dxa" w:w="1008"/>
            <w:tcMar>
              <w:top w:w="60" w:type="dxa"/>
              <w:start w:w="80" w:type="dxa"/>
              <w:bottom w:w="60" w:type="dxa"/>
              <w:end w:w="80" w:type="dxa"/>
            </w:tcMar>
            <w:vAlign w:val="center"/>
          </w:tcPr>
          <w:p>
            <w:pPr>
              <w:spacing w:after="0" w:line="240" w:lineRule="auto"/>
            </w:pPr>
            <w:r>
              <w:rPr>
                <w:rFonts w:ascii="Aptos" w:hAnsi="Aptos"/>
                <w:color w:val="24303F"/>
                <w:sz w:val="16"/>
              </w:rPr>
              <w:t>5</w:t>
            </w:r>
          </w:p>
        </w:tc>
        <w:tc>
          <w:tcPr>
            <w:tcW w:type="dxa" w:w="1152"/>
            <w:tcMar>
              <w:top w:w="60" w:type="dxa"/>
              <w:start w:w="80" w:type="dxa"/>
              <w:bottom w:w="60" w:type="dxa"/>
              <w:end w:w="80" w:type="dxa"/>
            </w:tcMar>
            <w:vAlign w:val="center"/>
          </w:tcPr>
          <w:p>
            <w:pPr>
              <w:spacing w:after="0" w:line="240" w:lineRule="auto"/>
            </w:pPr>
            <w:r>
              <w:rPr>
                <w:rFonts w:ascii="Aptos" w:hAnsi="Aptos"/>
                <w:color w:val="24303F"/>
                <w:sz w:val="16"/>
              </w:rPr>
              <w:t>40%</w:t>
            </w:r>
          </w:p>
        </w:tc>
        <w:tc>
          <w:tcPr>
            <w:tcW w:type="dxa" w:w="6768"/>
            <w:tcMar>
              <w:top w:w="60" w:type="dxa"/>
              <w:start w:w="80" w:type="dxa"/>
              <w:bottom w:w="60" w:type="dxa"/>
              <w:end w:w="80" w:type="dxa"/>
            </w:tcMar>
            <w:vAlign w:val="center"/>
          </w:tcPr>
          <w:p>
            <w:pPr>
              <w:spacing w:after="0" w:line="240" w:lineRule="auto"/>
            </w:pPr>
            <w:r>
              <w:rPr>
                <w:rFonts w:ascii="Aptos" w:hAnsi="Aptos"/>
                <w:color w:val="24303F"/>
                <w:sz w:val="16"/>
              </w:rPr>
              <w:t>Risk appetite, responsibility, policy governance, and vendor requirements</w:t>
            </w:r>
          </w:p>
        </w:tc>
      </w:tr>
      <w:tr>
        <w:tc>
          <w:tcPr>
            <w:tcW w:type="dxa" w:w="1152"/>
            <w:shd w:fill="F4F7FA"/>
            <w:tcMar>
              <w:top w:w="60" w:type="dxa"/>
              <w:start w:w="80" w:type="dxa"/>
              <w:bottom w:w="60" w:type="dxa"/>
              <w:end w:w="80" w:type="dxa"/>
            </w:tcMar>
            <w:vAlign w:val="center"/>
          </w:tcPr>
          <w:p>
            <w:pPr>
              <w:spacing w:after="0" w:line="240" w:lineRule="auto"/>
            </w:pPr>
            <w:r>
              <w:rPr>
                <w:rFonts w:ascii="Aptos" w:hAnsi="Aptos"/>
                <w:color w:val="24303F"/>
                <w:sz w:val="16"/>
              </w:rPr>
              <w:t>Identify</w:t>
            </w:r>
          </w:p>
        </w:tc>
        <w:tc>
          <w:tcPr>
            <w:tcW w:type="dxa" w:w="1008"/>
            <w:shd w:fill="F4F7FA"/>
            <w:tcMar>
              <w:top w:w="60" w:type="dxa"/>
              <w:start w:w="80" w:type="dxa"/>
              <w:bottom w:w="60" w:type="dxa"/>
              <w:end w:w="80" w:type="dxa"/>
            </w:tcMar>
            <w:vAlign w:val="center"/>
          </w:tcPr>
          <w:p>
            <w:pPr>
              <w:spacing w:after="0" w:line="240" w:lineRule="auto"/>
            </w:pPr>
            <w:r>
              <w:rPr>
                <w:rFonts w:ascii="Aptos" w:hAnsi="Aptos"/>
                <w:color w:val="24303F"/>
                <w:sz w:val="16"/>
              </w:rPr>
              <w:t>7</w:t>
            </w:r>
          </w:p>
        </w:tc>
        <w:tc>
          <w:tcPr>
            <w:tcW w:type="dxa" w:w="1152"/>
            <w:shd w:fill="F4F7FA"/>
            <w:tcMar>
              <w:top w:w="60" w:type="dxa"/>
              <w:start w:w="80" w:type="dxa"/>
              <w:bottom w:w="60" w:type="dxa"/>
              <w:end w:w="80" w:type="dxa"/>
            </w:tcMar>
            <w:vAlign w:val="center"/>
          </w:tcPr>
          <w:p>
            <w:pPr>
              <w:spacing w:after="0" w:line="240" w:lineRule="auto"/>
            </w:pPr>
            <w:r>
              <w:rPr>
                <w:rFonts w:ascii="Aptos" w:hAnsi="Aptos"/>
                <w:color w:val="24303F"/>
                <w:sz w:val="16"/>
              </w:rPr>
              <w:t>71%</w:t>
            </w:r>
          </w:p>
        </w:tc>
        <w:tc>
          <w:tcPr>
            <w:tcW w:type="dxa" w:w="6768"/>
            <w:shd w:fill="F4F7FA"/>
            <w:tcMar>
              <w:top w:w="60" w:type="dxa"/>
              <w:start w:w="80" w:type="dxa"/>
              <w:bottom w:w="60" w:type="dxa"/>
              <w:end w:w="80" w:type="dxa"/>
            </w:tcMar>
            <w:vAlign w:val="center"/>
          </w:tcPr>
          <w:p>
            <w:pPr>
              <w:spacing w:after="0" w:line="240" w:lineRule="auto"/>
            </w:pPr>
            <w:r>
              <w:rPr>
                <w:rFonts w:ascii="Aptos" w:hAnsi="Aptos"/>
                <w:color w:val="24303F"/>
                <w:sz w:val="16"/>
              </w:rPr>
              <w:t>Recurring validation of asset, threat, vulnerability, and risk records</w:t>
            </w:r>
          </w:p>
        </w:tc>
      </w:tr>
      <w:tr>
        <w:tc>
          <w:tcPr>
            <w:tcW w:type="dxa" w:w="1152"/>
            <w:tcMar>
              <w:top w:w="60" w:type="dxa"/>
              <w:start w:w="80" w:type="dxa"/>
              <w:bottom w:w="60" w:type="dxa"/>
              <w:end w:w="80" w:type="dxa"/>
            </w:tcMar>
            <w:vAlign w:val="center"/>
          </w:tcPr>
          <w:p>
            <w:pPr>
              <w:spacing w:after="0" w:line="240" w:lineRule="auto"/>
            </w:pPr>
            <w:r>
              <w:rPr>
                <w:rFonts w:ascii="Aptos" w:hAnsi="Aptos"/>
                <w:color w:val="24303F"/>
                <w:sz w:val="16"/>
              </w:rPr>
              <w:t>Protect</w:t>
            </w:r>
          </w:p>
        </w:tc>
        <w:tc>
          <w:tcPr>
            <w:tcW w:type="dxa" w:w="1008"/>
            <w:tcMar>
              <w:top w:w="60" w:type="dxa"/>
              <w:start w:w="80" w:type="dxa"/>
              <w:bottom w:w="60" w:type="dxa"/>
              <w:end w:w="80" w:type="dxa"/>
            </w:tcMar>
            <w:vAlign w:val="center"/>
          </w:tcPr>
          <w:p>
            <w:pPr>
              <w:spacing w:after="0" w:line="240" w:lineRule="auto"/>
            </w:pPr>
            <w:r>
              <w:rPr>
                <w:rFonts w:ascii="Aptos" w:hAnsi="Aptos"/>
                <w:color w:val="24303F"/>
                <w:sz w:val="16"/>
              </w:rPr>
              <w:t>7</w:t>
            </w:r>
          </w:p>
        </w:tc>
        <w:tc>
          <w:tcPr>
            <w:tcW w:type="dxa" w:w="1152"/>
            <w:tcMar>
              <w:top w:w="60" w:type="dxa"/>
              <w:start w:w="80" w:type="dxa"/>
              <w:bottom w:w="60" w:type="dxa"/>
              <w:end w:w="80" w:type="dxa"/>
            </w:tcMar>
            <w:vAlign w:val="center"/>
          </w:tcPr>
          <w:p>
            <w:pPr>
              <w:spacing w:after="0" w:line="240" w:lineRule="auto"/>
            </w:pPr>
            <w:r>
              <w:rPr>
                <w:rFonts w:ascii="Aptos" w:hAnsi="Aptos"/>
                <w:color w:val="24303F"/>
                <w:sz w:val="16"/>
              </w:rPr>
              <w:t>43%</w:t>
            </w:r>
          </w:p>
        </w:tc>
        <w:tc>
          <w:tcPr>
            <w:tcW w:type="dxa" w:w="6768"/>
            <w:tcMar>
              <w:top w:w="60" w:type="dxa"/>
              <w:start w:w="80" w:type="dxa"/>
              <w:bottom w:w="60" w:type="dxa"/>
              <w:end w:w="80" w:type="dxa"/>
            </w:tcMar>
            <w:vAlign w:val="center"/>
          </w:tcPr>
          <w:p>
            <w:pPr>
              <w:spacing w:after="0" w:line="240" w:lineRule="auto"/>
            </w:pPr>
            <w:r>
              <w:rPr>
                <w:rFonts w:ascii="Aptos" w:hAnsi="Aptos"/>
                <w:color w:val="24303F"/>
                <w:sz w:val="16"/>
              </w:rPr>
              <w:t>Access lifecycle, secure configuration, patching, data protection, and awareness</w:t>
            </w:r>
          </w:p>
        </w:tc>
      </w:tr>
      <w:tr>
        <w:tc>
          <w:tcPr>
            <w:tcW w:type="dxa" w:w="1152"/>
            <w:shd w:fill="F4F7FA"/>
            <w:tcMar>
              <w:top w:w="60" w:type="dxa"/>
              <w:start w:w="80" w:type="dxa"/>
              <w:bottom w:w="60" w:type="dxa"/>
              <w:end w:w="80" w:type="dxa"/>
            </w:tcMar>
            <w:vAlign w:val="center"/>
          </w:tcPr>
          <w:p>
            <w:pPr>
              <w:spacing w:after="0" w:line="240" w:lineRule="auto"/>
            </w:pPr>
            <w:r>
              <w:rPr>
                <w:rFonts w:ascii="Aptos" w:hAnsi="Aptos"/>
                <w:color w:val="24303F"/>
                <w:sz w:val="16"/>
              </w:rPr>
              <w:t>Detect</w:t>
            </w:r>
          </w:p>
        </w:tc>
        <w:tc>
          <w:tcPr>
            <w:tcW w:type="dxa" w:w="1008"/>
            <w:shd w:fill="F4F7FA"/>
            <w:tcMar>
              <w:top w:w="60" w:type="dxa"/>
              <w:start w:w="80" w:type="dxa"/>
              <w:bottom w:w="60" w:type="dxa"/>
              <w:end w:w="80" w:type="dxa"/>
            </w:tcMar>
            <w:vAlign w:val="center"/>
          </w:tcPr>
          <w:p>
            <w:pPr>
              <w:spacing w:after="0" w:line="240" w:lineRule="auto"/>
            </w:pPr>
            <w:r>
              <w:rPr>
                <w:rFonts w:ascii="Aptos" w:hAnsi="Aptos"/>
                <w:color w:val="24303F"/>
                <w:sz w:val="16"/>
              </w:rPr>
              <w:t>1</w:t>
            </w:r>
          </w:p>
        </w:tc>
        <w:tc>
          <w:tcPr>
            <w:tcW w:type="dxa" w:w="1152"/>
            <w:shd w:fill="F4F7FA"/>
            <w:tcMar>
              <w:top w:w="60" w:type="dxa"/>
              <w:start w:w="80" w:type="dxa"/>
              <w:bottom w:w="60" w:type="dxa"/>
              <w:end w:w="80" w:type="dxa"/>
            </w:tcMar>
            <w:vAlign w:val="center"/>
          </w:tcPr>
          <w:p>
            <w:pPr>
              <w:spacing w:after="0" w:line="240" w:lineRule="auto"/>
            </w:pPr>
            <w:r>
              <w:rPr>
                <w:rFonts w:ascii="Aptos" w:hAnsi="Aptos"/>
                <w:color w:val="24303F"/>
                <w:sz w:val="16"/>
              </w:rPr>
              <w:t>50%</w:t>
            </w:r>
          </w:p>
        </w:tc>
        <w:tc>
          <w:tcPr>
            <w:tcW w:type="dxa" w:w="6768"/>
            <w:shd w:fill="F4F7FA"/>
            <w:tcMar>
              <w:top w:w="60" w:type="dxa"/>
              <w:start w:w="80" w:type="dxa"/>
              <w:bottom w:w="60" w:type="dxa"/>
              <w:end w:w="80" w:type="dxa"/>
            </w:tcMar>
            <w:vAlign w:val="center"/>
          </w:tcPr>
          <w:p>
            <w:pPr>
              <w:spacing w:after="0" w:line="240" w:lineRule="auto"/>
            </w:pPr>
            <w:r>
              <w:rPr>
                <w:rFonts w:ascii="Aptos" w:hAnsi="Aptos"/>
                <w:color w:val="24303F"/>
                <w:sz w:val="16"/>
              </w:rPr>
              <w:t>Centralized monitoring, alert ownership, and escalation</w:t>
            </w:r>
          </w:p>
        </w:tc>
      </w:tr>
      <w:tr>
        <w:tc>
          <w:tcPr>
            <w:tcW w:type="dxa" w:w="1152"/>
            <w:tcMar>
              <w:top w:w="60" w:type="dxa"/>
              <w:start w:w="80" w:type="dxa"/>
              <w:bottom w:w="60" w:type="dxa"/>
              <w:end w:w="80" w:type="dxa"/>
            </w:tcMar>
            <w:vAlign w:val="center"/>
          </w:tcPr>
          <w:p>
            <w:pPr>
              <w:spacing w:after="0" w:line="240" w:lineRule="auto"/>
            </w:pPr>
            <w:r>
              <w:rPr>
                <w:rFonts w:ascii="Aptos" w:hAnsi="Aptos"/>
                <w:color w:val="24303F"/>
                <w:sz w:val="16"/>
              </w:rPr>
              <w:t>Respond</w:t>
            </w:r>
          </w:p>
        </w:tc>
        <w:tc>
          <w:tcPr>
            <w:tcW w:type="dxa" w:w="1008"/>
            <w:tcMar>
              <w:top w:w="60" w:type="dxa"/>
              <w:start w:w="80" w:type="dxa"/>
              <w:bottom w:w="60" w:type="dxa"/>
              <w:end w:w="80" w:type="dxa"/>
            </w:tcMar>
            <w:vAlign w:val="center"/>
          </w:tcPr>
          <w:p>
            <w:pPr>
              <w:spacing w:after="0" w:line="240" w:lineRule="auto"/>
            </w:pPr>
            <w:r>
              <w:rPr>
                <w:rFonts w:ascii="Aptos" w:hAnsi="Aptos"/>
                <w:color w:val="24303F"/>
                <w:sz w:val="16"/>
              </w:rPr>
              <w:t>1</w:t>
            </w:r>
          </w:p>
        </w:tc>
        <w:tc>
          <w:tcPr>
            <w:tcW w:type="dxa" w:w="1152"/>
            <w:tcMar>
              <w:top w:w="60" w:type="dxa"/>
              <w:start w:w="80" w:type="dxa"/>
              <w:bottom w:w="60" w:type="dxa"/>
              <w:end w:w="80" w:type="dxa"/>
            </w:tcMar>
            <w:vAlign w:val="center"/>
          </w:tcPr>
          <w:p>
            <w:pPr>
              <w:spacing w:after="0" w:line="240" w:lineRule="auto"/>
            </w:pPr>
            <w:r>
              <w:rPr>
                <w:rFonts w:ascii="Aptos" w:hAnsi="Aptos"/>
                <w:color w:val="24303F"/>
                <w:sz w:val="16"/>
              </w:rPr>
              <w:t>0%</w:t>
            </w:r>
          </w:p>
        </w:tc>
        <w:tc>
          <w:tcPr>
            <w:tcW w:type="dxa" w:w="6768"/>
            <w:tcMar>
              <w:top w:w="60" w:type="dxa"/>
              <w:start w:w="80" w:type="dxa"/>
              <w:bottom w:w="60" w:type="dxa"/>
              <w:end w:w="80" w:type="dxa"/>
            </w:tcMar>
            <w:vAlign w:val="center"/>
          </w:tcPr>
          <w:p>
            <w:pPr>
              <w:spacing w:after="0" w:line="240" w:lineRule="auto"/>
            </w:pPr>
            <w:r>
              <w:rPr>
                <w:rFonts w:ascii="Aptos" w:hAnsi="Aptos"/>
                <w:color w:val="24303F"/>
                <w:sz w:val="16"/>
              </w:rPr>
              <w:t>Approve and exercise the incident-response process</w:t>
            </w:r>
          </w:p>
        </w:tc>
      </w:tr>
      <w:tr>
        <w:tc>
          <w:tcPr>
            <w:tcW w:type="dxa" w:w="1152"/>
            <w:shd w:fill="F4F7FA"/>
            <w:tcMar>
              <w:top w:w="60" w:type="dxa"/>
              <w:start w:w="80" w:type="dxa"/>
              <w:bottom w:w="60" w:type="dxa"/>
              <w:end w:w="80" w:type="dxa"/>
            </w:tcMar>
            <w:vAlign w:val="center"/>
          </w:tcPr>
          <w:p>
            <w:pPr>
              <w:spacing w:after="0" w:line="240" w:lineRule="auto"/>
            </w:pPr>
            <w:r>
              <w:rPr>
                <w:rFonts w:ascii="Aptos" w:hAnsi="Aptos"/>
                <w:color w:val="24303F"/>
                <w:sz w:val="16"/>
              </w:rPr>
              <w:t>Recover</w:t>
            </w:r>
          </w:p>
        </w:tc>
        <w:tc>
          <w:tcPr>
            <w:tcW w:type="dxa" w:w="1008"/>
            <w:shd w:fill="F4F7FA"/>
            <w:tcMar>
              <w:top w:w="60" w:type="dxa"/>
              <w:start w:w="80" w:type="dxa"/>
              <w:bottom w:w="60" w:type="dxa"/>
              <w:end w:w="80" w:type="dxa"/>
            </w:tcMar>
            <w:vAlign w:val="center"/>
          </w:tcPr>
          <w:p>
            <w:pPr>
              <w:spacing w:after="0" w:line="240" w:lineRule="auto"/>
            </w:pPr>
            <w:r>
              <w:rPr>
                <w:rFonts w:ascii="Aptos" w:hAnsi="Aptos"/>
                <w:color w:val="24303F"/>
                <w:sz w:val="16"/>
              </w:rPr>
              <w:t>1</w:t>
            </w:r>
          </w:p>
        </w:tc>
        <w:tc>
          <w:tcPr>
            <w:tcW w:type="dxa" w:w="1152"/>
            <w:shd w:fill="F4F7FA"/>
            <w:tcMar>
              <w:top w:w="60" w:type="dxa"/>
              <w:start w:w="80" w:type="dxa"/>
              <w:bottom w:w="60" w:type="dxa"/>
              <w:end w:w="80" w:type="dxa"/>
            </w:tcMar>
            <w:vAlign w:val="center"/>
          </w:tcPr>
          <w:p>
            <w:pPr>
              <w:spacing w:after="0" w:line="240" w:lineRule="auto"/>
            </w:pPr>
            <w:r>
              <w:rPr>
                <w:rFonts w:ascii="Aptos" w:hAnsi="Aptos"/>
                <w:color w:val="24303F"/>
                <w:sz w:val="16"/>
              </w:rPr>
              <w:t>50%</w:t>
            </w:r>
          </w:p>
        </w:tc>
        <w:tc>
          <w:tcPr>
            <w:tcW w:type="dxa" w:w="6768"/>
            <w:shd w:fill="F4F7FA"/>
            <w:tcMar>
              <w:top w:w="60" w:type="dxa"/>
              <w:start w:w="80" w:type="dxa"/>
              <w:bottom w:w="60" w:type="dxa"/>
              <w:end w:w="80" w:type="dxa"/>
            </w:tcMar>
            <w:vAlign w:val="center"/>
          </w:tcPr>
          <w:p>
            <w:pPr>
              <w:spacing w:after="0" w:line="240" w:lineRule="auto"/>
            </w:pPr>
            <w:r>
              <w:rPr>
                <w:rFonts w:ascii="Aptos" w:hAnsi="Aptos"/>
                <w:color w:val="24303F"/>
                <w:sz w:val="16"/>
              </w:rPr>
              <w:t>Recovery objectives, restoration tests, and communications</w:t>
            </w:r>
          </w:p>
        </w:tc>
      </w:tr>
    </w:tbl>
    <w:p>
      <w:pPr>
        <w:pStyle w:val="Heading2"/>
      </w:pPr>
      <w:r>
        <w:t>Design versus operating effectiveness</w:t>
      </w:r>
    </w:p>
    <w:p>
      <w:r>
        <w:t>The Access Control Policy and Incident Response Plan strengthen documented control design. A control should be rated Implemented only after approval, communication, assigned ownership, consistent execution, testing, and retained evidence.</w:t>
      </w:r>
    </w:p>
    <w:p>
      <w:pPr>
        <w:pStyle w:val="Heading2"/>
      </w:pPr>
      <w:r>
        <w:t>Evidence required</w:t>
      </w:r>
    </w:p>
    <w:p>
      <w:pPr>
        <w:pStyle w:val="ListBullet"/>
        <w:spacing w:after="40"/>
        <w:ind w:left="259" w:hanging="187"/>
      </w:pPr>
      <w:r>
        <w:t>Policy approvals, employee acknowledgments, role assignments, and exception records.</w:t>
      </w:r>
    </w:p>
    <w:p>
      <w:pPr>
        <w:pStyle w:val="ListBullet"/>
        <w:spacing w:after="40"/>
        <w:ind w:left="259" w:hanging="187"/>
      </w:pPr>
      <w:r>
        <w:t>Completed access certifications and verified remediation tickets.</w:t>
      </w:r>
    </w:p>
    <w:p>
      <w:pPr>
        <w:pStyle w:val="ListBullet"/>
        <w:spacing w:after="40"/>
        <w:ind w:left="259" w:hanging="187"/>
      </w:pPr>
      <w:r>
        <w:t>Vulnerability, patch, configuration, logging, and alert-review reports tied to service levels.</w:t>
      </w:r>
    </w:p>
    <w:p>
      <w:pPr>
        <w:pStyle w:val="ListBullet"/>
        <w:spacing w:after="40"/>
        <w:ind w:left="259" w:hanging="187"/>
      </w:pPr>
      <w:r>
        <w:t>Incident exercises, lessons learned, backup restoration results, and recovery performance.</w:t>
      </w:r>
    </w:p>
    <w:p>
      <w:pPr>
        <w:pStyle w:val="ListBullet"/>
        <w:spacing w:after="40"/>
        <w:ind w:left="259" w:hanging="187"/>
      </w:pPr>
      <w:r>
        <w:t>Vendor assurance reports, contract clauses, subprocessor records, and finding closure evidence.</w:t>
      </w:r>
    </w:p>
    <w:p>
      <w:r>
        <w:br w:type="page"/>
      </w:r>
    </w:p>
    <w:p>
      <w:pPr>
        <w:pStyle w:val="Heading1"/>
      </w:pPr>
      <w:r>
        <w:t>5. Assurance Results</w:t>
      </w:r>
    </w:p>
    <w:p>
      <w:pPr>
        <w:spacing w:after="100"/>
        <w:pBdr>
          <w:bottom w:val="single" w:sz="12" w:space="1" w:color="E5A823"/>
        </w:pBdr>
      </w:pPr>
    </w:p>
    <w:p>
      <w:pPr>
        <w:pStyle w:val="Heading2"/>
      </w:pPr>
      <w:r>
        <w:t>Quarterly access review</w:t>
      </w:r>
    </w:p>
    <w:p>
      <w:r>
        <w:t>The review examined 28 access records. Seventeen were retained, three required modification, five removal, and three escalation. Eleven exceptions produced eight formal findings: four Critical and four High.</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fill="193B5B"/>
            <w:vAlign w:val="center"/>
            <w:tcMar>
              <w:top w:w="60" w:type="dxa"/>
              <w:start w:w="80" w:type="dxa"/>
              <w:bottom w:w="60" w:type="dxa"/>
              <w:end w:w="80" w:type="dxa"/>
            </w:tcMar>
          </w:tcPr>
          <w:p>
            <w:pPr>
              <w:spacing w:after="0"/>
            </w:pPr>
            <w:r>
              <w:rPr>
                <w:b/>
                <w:color w:val="FFFFFF"/>
                <w:sz w:val="14"/>
              </w:rPr>
              <w:t>Response</w:t>
            </w:r>
          </w:p>
        </w:tc>
        <w:tc>
          <w:tcPr>
            <w:tcW w:type="dxa" w:w="3408"/>
            <w:shd w:fill="193B5B"/>
            <w:vAlign w:val="center"/>
            <w:tcMar>
              <w:top w:w="60" w:type="dxa"/>
              <w:start w:w="80" w:type="dxa"/>
              <w:bottom w:w="60" w:type="dxa"/>
              <w:end w:w="80" w:type="dxa"/>
            </w:tcMar>
          </w:tcPr>
          <w:p>
            <w:pPr>
              <w:spacing w:after="0"/>
            </w:pPr>
            <w:r>
              <w:rPr>
                <w:b/>
                <w:color w:val="FFFFFF"/>
                <w:sz w:val="14"/>
              </w:rPr>
              <w:t>Finding</w:t>
            </w:r>
          </w:p>
        </w:tc>
        <w:tc>
          <w:tcPr>
            <w:tcW w:type="dxa" w:w="3408"/>
            <w:shd w:fill="193B5B"/>
            <w:vAlign w:val="center"/>
            <w:tcMar>
              <w:top w:w="60" w:type="dxa"/>
              <w:start w:w="80" w:type="dxa"/>
              <w:bottom w:w="60" w:type="dxa"/>
              <w:end w:w="80" w:type="dxa"/>
            </w:tcMar>
          </w:tcPr>
          <w:p>
            <w:pPr>
              <w:spacing w:after="0"/>
            </w:pPr>
            <w:r>
              <w:rPr>
                <w:b/>
                <w:color w:val="FFFFFF"/>
                <w:sz w:val="14"/>
              </w:rPr>
              <w:t>Required evidence</w:t>
            </w:r>
          </w:p>
        </w:tc>
      </w:tr>
      <w:tr>
        <w:tc>
          <w:tcPr>
            <w:tcW w:type="dxa" w:w="3408"/>
            <w:tcMar>
              <w:top w:w="60" w:type="dxa"/>
              <w:start w:w="80" w:type="dxa"/>
              <w:bottom w:w="60" w:type="dxa"/>
              <w:end w:w="80" w:type="dxa"/>
            </w:tcMar>
            <w:vAlign w:val="center"/>
          </w:tcPr>
          <w:p>
            <w:pPr>
              <w:spacing w:after="0" w:line="240" w:lineRule="auto"/>
            </w:pPr>
            <w:r>
              <w:rPr>
                <w:rFonts w:ascii="Aptos" w:hAnsi="Aptos"/>
                <w:color w:val="24303F"/>
                <w:sz w:val="14"/>
              </w:rPr>
              <w:t>Terminate</w:t>
            </w:r>
          </w:p>
        </w:tc>
        <w:tc>
          <w:tcPr>
            <w:tcW w:type="dxa" w:w="3408"/>
            <w:tcMar>
              <w:top w:w="60" w:type="dxa"/>
              <w:start w:w="80" w:type="dxa"/>
              <w:bottom w:w="60" w:type="dxa"/>
              <w:end w:w="80" w:type="dxa"/>
            </w:tcMar>
            <w:vAlign w:val="center"/>
          </w:tcPr>
          <w:p>
            <w:pPr>
              <w:spacing w:after="0" w:line="240" w:lineRule="auto"/>
            </w:pPr>
            <w:r>
              <w:rPr>
                <w:rFonts w:ascii="Aptos" w:hAnsi="Aptos"/>
                <w:color w:val="24303F"/>
                <w:sz w:val="14"/>
              </w:rPr>
              <w:t>Former contractor retained AWS access</w:t>
            </w:r>
          </w:p>
        </w:tc>
        <w:tc>
          <w:tcPr>
            <w:tcW w:type="dxa" w:w="3408"/>
            <w:tcMar>
              <w:top w:w="60" w:type="dxa"/>
              <w:start w:w="80" w:type="dxa"/>
              <w:bottom w:w="60" w:type="dxa"/>
              <w:end w:w="80" w:type="dxa"/>
            </w:tcMar>
            <w:vAlign w:val="center"/>
          </w:tcPr>
          <w:p>
            <w:pPr>
              <w:spacing w:after="0" w:line="240" w:lineRule="auto"/>
            </w:pPr>
            <w:r>
              <w:rPr>
                <w:rFonts w:ascii="Aptos" w:hAnsi="Aptos"/>
                <w:color w:val="24303F"/>
                <w:sz w:val="14"/>
              </w:rPr>
              <w:t>Disable access, revoke sessions, review activity, and preserve evidence</w:t>
            </w:r>
          </w:p>
        </w:tc>
      </w:tr>
      <w:tr>
        <w:tc>
          <w:tcPr>
            <w:tcW w:type="dxa" w:w="3408"/>
            <w:shd w:fill="F4F7FA"/>
            <w:tcMar>
              <w:top w:w="60" w:type="dxa"/>
              <w:start w:w="80" w:type="dxa"/>
              <w:bottom w:w="60" w:type="dxa"/>
              <w:end w:w="80" w:type="dxa"/>
            </w:tcMar>
            <w:vAlign w:val="center"/>
          </w:tcPr>
          <w:p>
            <w:pPr>
              <w:spacing w:after="0" w:line="240" w:lineRule="auto"/>
            </w:pPr>
            <w:r>
              <w:rPr>
                <w:rFonts w:ascii="Aptos" w:hAnsi="Aptos"/>
                <w:color w:val="24303F"/>
                <w:sz w:val="14"/>
              </w:rPr>
              <w:t>Restrict</w:t>
            </w:r>
          </w:p>
        </w:tc>
        <w:tc>
          <w:tcPr>
            <w:tcW w:type="dxa" w:w="3408"/>
            <w:shd w:fill="F4F7FA"/>
            <w:tcMar>
              <w:top w:w="60" w:type="dxa"/>
              <w:start w:w="80" w:type="dxa"/>
              <w:bottom w:w="60" w:type="dxa"/>
              <w:end w:w="80" w:type="dxa"/>
            </w:tcMar>
            <w:vAlign w:val="center"/>
          </w:tcPr>
          <w:p>
            <w:pPr>
              <w:spacing w:after="0" w:line="240" w:lineRule="auto"/>
            </w:pPr>
            <w:r>
              <w:rPr>
                <w:rFonts w:ascii="Aptos" w:hAnsi="Aptos"/>
                <w:color w:val="24303F"/>
                <w:sz w:val="14"/>
              </w:rPr>
              <w:t>Developer and support roles exceeded job needs</w:t>
            </w:r>
          </w:p>
        </w:tc>
        <w:tc>
          <w:tcPr>
            <w:tcW w:type="dxa" w:w="3408"/>
            <w:shd w:fill="F4F7FA"/>
            <w:tcMar>
              <w:top w:w="60" w:type="dxa"/>
              <w:start w:w="80" w:type="dxa"/>
              <w:bottom w:w="60" w:type="dxa"/>
              <w:end w:w="80" w:type="dxa"/>
            </w:tcMar>
            <w:vAlign w:val="center"/>
          </w:tcPr>
          <w:p>
            <w:pPr>
              <w:spacing w:after="0" w:line="240" w:lineRule="auto"/>
            </w:pPr>
            <w:r>
              <w:rPr>
                <w:rFonts w:ascii="Aptos" w:hAnsi="Aptos"/>
                <w:color w:val="24303F"/>
                <w:sz w:val="14"/>
              </w:rPr>
              <w:t>Remove direct database access and broad administrator roles</w:t>
            </w:r>
          </w:p>
        </w:tc>
      </w:tr>
      <w:tr>
        <w:tc>
          <w:tcPr>
            <w:tcW w:type="dxa" w:w="3408"/>
            <w:tcMar>
              <w:top w:w="60" w:type="dxa"/>
              <w:start w:w="80" w:type="dxa"/>
              <w:bottom w:w="60" w:type="dxa"/>
              <w:end w:w="80" w:type="dxa"/>
            </w:tcMar>
            <w:vAlign w:val="center"/>
          </w:tcPr>
          <w:p>
            <w:pPr>
              <w:spacing w:after="0" w:line="240" w:lineRule="auto"/>
            </w:pPr>
            <w:r>
              <w:rPr>
                <w:rFonts w:ascii="Aptos" w:hAnsi="Aptos"/>
                <w:color w:val="24303F"/>
                <w:sz w:val="14"/>
              </w:rPr>
              <w:t>Govern</w:t>
            </w:r>
          </w:p>
        </w:tc>
        <w:tc>
          <w:tcPr>
            <w:tcW w:type="dxa" w:w="3408"/>
            <w:tcMar>
              <w:top w:w="60" w:type="dxa"/>
              <w:start w:w="80" w:type="dxa"/>
              <w:bottom w:w="60" w:type="dxa"/>
              <w:end w:w="80" w:type="dxa"/>
            </w:tcMar>
            <w:vAlign w:val="center"/>
          </w:tcPr>
          <w:p>
            <w:pPr>
              <w:spacing w:after="0" w:line="240" w:lineRule="auto"/>
            </w:pPr>
            <w:r>
              <w:rPr>
                <w:rFonts w:ascii="Aptos" w:hAnsi="Aptos"/>
                <w:color w:val="24303F"/>
                <w:sz w:val="14"/>
              </w:rPr>
              <w:t>Privileged service account lacked an owner</w:t>
            </w:r>
          </w:p>
        </w:tc>
        <w:tc>
          <w:tcPr>
            <w:tcW w:type="dxa" w:w="3408"/>
            <w:tcMar>
              <w:top w:w="60" w:type="dxa"/>
              <w:start w:w="80" w:type="dxa"/>
              <w:bottom w:w="60" w:type="dxa"/>
              <w:end w:w="80" w:type="dxa"/>
            </w:tcMar>
            <w:vAlign w:val="center"/>
          </w:tcPr>
          <w:p>
            <w:pPr>
              <w:spacing w:after="0" w:line="240" w:lineRule="auto"/>
            </w:pPr>
            <w:r>
              <w:rPr>
                <w:rFonts w:ascii="Aptos" w:hAnsi="Aptos"/>
                <w:color w:val="24303F"/>
                <w:sz w:val="14"/>
              </w:rPr>
              <w:t>Assign ownership, rotate credentials, document scope and review date</w:t>
            </w:r>
          </w:p>
        </w:tc>
      </w:tr>
      <w:tr>
        <w:tc>
          <w:tcPr>
            <w:tcW w:type="dxa" w:w="3408"/>
            <w:shd w:fill="F4F7FA"/>
            <w:tcMar>
              <w:top w:w="60" w:type="dxa"/>
              <w:start w:w="80" w:type="dxa"/>
              <w:bottom w:w="60" w:type="dxa"/>
              <w:end w:w="80" w:type="dxa"/>
            </w:tcMar>
            <w:vAlign w:val="center"/>
          </w:tcPr>
          <w:p>
            <w:pPr>
              <w:spacing w:after="0" w:line="240" w:lineRule="auto"/>
            </w:pPr>
            <w:r>
              <w:rPr>
                <w:rFonts w:ascii="Aptos" w:hAnsi="Aptos"/>
                <w:color w:val="24303F"/>
                <w:sz w:val="14"/>
              </w:rPr>
              <w:t>Time-limit</w:t>
            </w:r>
          </w:p>
        </w:tc>
        <w:tc>
          <w:tcPr>
            <w:tcW w:type="dxa" w:w="3408"/>
            <w:shd w:fill="F4F7FA"/>
            <w:tcMar>
              <w:top w:w="60" w:type="dxa"/>
              <w:start w:w="80" w:type="dxa"/>
              <w:bottom w:w="60" w:type="dxa"/>
              <w:end w:w="80" w:type="dxa"/>
            </w:tcMar>
            <w:vAlign w:val="center"/>
          </w:tcPr>
          <w:p>
            <w:pPr>
              <w:spacing w:after="0" w:line="240" w:lineRule="auto"/>
            </w:pPr>
            <w:r>
              <w:rPr>
                <w:rFonts w:ascii="Aptos" w:hAnsi="Aptos"/>
                <w:color w:val="24303F"/>
                <w:sz w:val="14"/>
              </w:rPr>
              <w:t>Vendor repository access lacked expiration</w:t>
            </w:r>
          </w:p>
        </w:tc>
        <w:tc>
          <w:tcPr>
            <w:tcW w:type="dxa" w:w="3408"/>
            <w:shd w:fill="F4F7FA"/>
            <w:tcMar>
              <w:top w:w="60" w:type="dxa"/>
              <w:start w:w="80" w:type="dxa"/>
              <w:bottom w:w="60" w:type="dxa"/>
              <w:end w:w="80" w:type="dxa"/>
            </w:tcMar>
            <w:vAlign w:val="center"/>
          </w:tcPr>
          <w:p>
            <w:pPr>
              <w:spacing w:after="0" w:line="240" w:lineRule="auto"/>
            </w:pPr>
            <w:r>
              <w:rPr>
                <w:rFonts w:ascii="Aptos" w:hAnsi="Aptos"/>
                <w:color w:val="24303F"/>
                <w:sz w:val="14"/>
              </w:rPr>
              <w:t>Record sponsor, scope, expiration, and quarterly validation</w:t>
            </w:r>
          </w:p>
        </w:tc>
      </w:tr>
      <w:tr>
        <w:tc>
          <w:tcPr>
            <w:tcW w:type="dxa" w:w="3408"/>
            <w:tcMar>
              <w:top w:w="60" w:type="dxa"/>
              <w:start w:w="80" w:type="dxa"/>
              <w:bottom w:w="60" w:type="dxa"/>
              <w:end w:w="80" w:type="dxa"/>
            </w:tcMar>
            <w:vAlign w:val="center"/>
          </w:tcPr>
          <w:p>
            <w:pPr>
              <w:spacing w:after="0" w:line="240" w:lineRule="auto"/>
            </w:pPr>
            <w:r>
              <w:rPr>
                <w:rFonts w:ascii="Aptos" w:hAnsi="Aptos"/>
                <w:color w:val="24303F"/>
                <w:sz w:val="14"/>
              </w:rPr>
              <w:t>Correct mover</w:t>
            </w:r>
          </w:p>
        </w:tc>
        <w:tc>
          <w:tcPr>
            <w:tcW w:type="dxa" w:w="3408"/>
            <w:tcMar>
              <w:top w:w="60" w:type="dxa"/>
              <w:start w:w="80" w:type="dxa"/>
              <w:bottom w:w="60" w:type="dxa"/>
              <w:end w:w="80" w:type="dxa"/>
            </w:tcMar>
            <w:vAlign w:val="center"/>
          </w:tcPr>
          <w:p>
            <w:pPr>
              <w:spacing w:after="0" w:line="240" w:lineRule="auto"/>
            </w:pPr>
            <w:r>
              <w:rPr>
                <w:rFonts w:ascii="Aptos" w:hAnsi="Aptos"/>
                <w:color w:val="24303F"/>
                <w:sz w:val="14"/>
              </w:rPr>
              <w:t>Marketing employee retained support access</w:t>
            </w:r>
          </w:p>
        </w:tc>
        <w:tc>
          <w:tcPr>
            <w:tcW w:type="dxa" w:w="3408"/>
            <w:tcMar>
              <w:top w:w="60" w:type="dxa"/>
              <w:start w:w="80" w:type="dxa"/>
              <w:bottom w:w="60" w:type="dxa"/>
              <w:end w:w="80" w:type="dxa"/>
            </w:tcMar>
            <w:vAlign w:val="center"/>
          </w:tcPr>
          <w:p>
            <w:pPr>
              <w:spacing w:after="0" w:line="240" w:lineRule="auto"/>
            </w:pPr>
            <w:r>
              <w:rPr>
                <w:rFonts w:ascii="Aptos" w:hAnsi="Aptos"/>
                <w:color w:val="24303F"/>
                <w:sz w:val="14"/>
              </w:rPr>
              <w:t>Remove inherited access and review the transfer process</w:t>
            </w:r>
          </w:p>
        </w:tc>
      </w:tr>
    </w:tbl>
    <w:p>
      <w:pPr>
        <w:pStyle w:val="Heading2"/>
      </w:pPr>
      <w:r>
        <w:t>VitaSync third-party assessment</w:t>
      </w:r>
    </w:p>
    <w:p>
      <w:r>
        <w:t>VitaSync received a weighted control score of approximately 70%. The recommendation is Conditional Approval because six material findings remain: three Critical and three High.</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fill="193B5B"/>
            <w:vAlign w:val="center"/>
            <w:tcMar>
              <w:top w:w="60" w:type="dxa"/>
              <w:start w:w="80" w:type="dxa"/>
              <w:bottom w:w="60" w:type="dxa"/>
              <w:end w:w="80" w:type="dxa"/>
            </w:tcMar>
          </w:tcPr>
          <w:p>
            <w:pPr>
              <w:spacing w:after="0"/>
            </w:pPr>
            <w:r>
              <w:rPr>
                <w:b/>
                <w:color w:val="FFFFFF"/>
                <w:sz w:val="14"/>
              </w:rPr>
              <w:t>Condition</w:t>
            </w:r>
          </w:p>
        </w:tc>
        <w:tc>
          <w:tcPr>
            <w:tcW w:type="dxa" w:w="3408"/>
            <w:shd w:fill="193B5B"/>
            <w:vAlign w:val="center"/>
            <w:tcMar>
              <w:top w:w="60" w:type="dxa"/>
              <w:start w:w="80" w:type="dxa"/>
              <w:bottom w:w="60" w:type="dxa"/>
              <w:end w:w="80" w:type="dxa"/>
            </w:tcMar>
          </w:tcPr>
          <w:p>
            <w:pPr>
              <w:spacing w:after="0"/>
            </w:pPr>
            <w:r>
              <w:rPr>
                <w:b/>
                <w:color w:val="FFFFFF"/>
                <w:sz w:val="14"/>
              </w:rPr>
              <w:t>Rating</w:t>
            </w:r>
          </w:p>
        </w:tc>
        <w:tc>
          <w:tcPr>
            <w:tcW w:type="dxa" w:w="3408"/>
            <w:shd w:fill="193B5B"/>
            <w:vAlign w:val="center"/>
            <w:tcMar>
              <w:top w:w="60" w:type="dxa"/>
              <w:start w:w="80" w:type="dxa"/>
              <w:bottom w:w="60" w:type="dxa"/>
              <w:end w:w="80" w:type="dxa"/>
            </w:tcMar>
          </w:tcPr>
          <w:p>
            <w:pPr>
              <w:spacing w:after="0"/>
            </w:pPr>
            <w:r>
              <w:rPr>
                <w:b/>
                <w:color w:val="FFFFFF"/>
                <w:sz w:val="14"/>
              </w:rPr>
              <w:t>Required action</w:t>
            </w:r>
          </w:p>
        </w:tc>
      </w:tr>
      <w:tr>
        <w:tc>
          <w:tcPr>
            <w:tcW w:type="dxa" w:w="3408"/>
            <w:tcMar>
              <w:top w:w="60" w:type="dxa"/>
              <w:start w:w="80" w:type="dxa"/>
              <w:bottom w:w="60" w:type="dxa"/>
              <w:end w:w="80" w:type="dxa"/>
            </w:tcMar>
            <w:vAlign w:val="center"/>
          </w:tcPr>
          <w:p>
            <w:pPr>
              <w:spacing w:after="0" w:line="240" w:lineRule="auto"/>
            </w:pPr>
            <w:r>
              <w:rPr>
                <w:rFonts w:ascii="Aptos" w:hAnsi="Aptos"/>
                <w:color w:val="24303F"/>
                <w:sz w:val="14"/>
              </w:rPr>
              <w:t>Independent assurance</w:t>
            </w:r>
          </w:p>
        </w:tc>
        <w:tc>
          <w:tcPr>
            <w:tcW w:type="dxa" w:w="3408"/>
            <w:tcMar>
              <w:top w:w="60" w:type="dxa"/>
              <w:start w:w="80" w:type="dxa"/>
              <w:bottom w:w="60" w:type="dxa"/>
              <w:end w:w="80" w:type="dxa"/>
            </w:tcMar>
            <w:vAlign w:val="center"/>
          </w:tcPr>
          <w:p>
            <w:pPr>
              <w:spacing w:after="0" w:line="240" w:lineRule="auto"/>
            </w:pPr>
            <w:r>
              <w:rPr>
                <w:rFonts w:ascii="Aptos" w:hAnsi="Aptos"/>
                <w:color w:val="24303F"/>
                <w:sz w:val="14"/>
              </w:rPr>
              <w:t>High</w:t>
            </w:r>
          </w:p>
        </w:tc>
        <w:tc>
          <w:tcPr>
            <w:tcW w:type="dxa" w:w="3408"/>
            <w:tcMar>
              <w:top w:w="60" w:type="dxa"/>
              <w:start w:w="80" w:type="dxa"/>
              <w:bottom w:w="60" w:type="dxa"/>
              <w:end w:w="80" w:type="dxa"/>
            </w:tcMar>
            <w:vAlign w:val="center"/>
          </w:tcPr>
          <w:p>
            <w:pPr>
              <w:spacing w:after="0" w:line="240" w:lineRule="auto"/>
            </w:pPr>
            <w:r>
              <w:rPr>
                <w:rFonts w:ascii="Aptos" w:hAnsi="Aptos"/>
                <w:color w:val="24303F"/>
                <w:sz w:val="14"/>
              </w:rPr>
              <w:t>Obtain current SOC 2 Type II or equivalent assurance</w:t>
            </w:r>
          </w:p>
        </w:tc>
      </w:tr>
      <w:tr>
        <w:tc>
          <w:tcPr>
            <w:tcW w:type="dxa" w:w="3408"/>
            <w:shd w:fill="F4F7FA"/>
            <w:tcMar>
              <w:top w:w="60" w:type="dxa"/>
              <w:start w:w="80" w:type="dxa"/>
              <w:bottom w:w="60" w:type="dxa"/>
              <w:end w:w="80" w:type="dxa"/>
            </w:tcMar>
            <w:vAlign w:val="center"/>
          </w:tcPr>
          <w:p>
            <w:pPr>
              <w:spacing w:after="0" w:line="240" w:lineRule="auto"/>
            </w:pPr>
            <w:r>
              <w:rPr>
                <w:rFonts w:ascii="Aptos" w:hAnsi="Aptos"/>
                <w:color w:val="24303F"/>
                <w:sz w:val="14"/>
              </w:rPr>
              <w:t>Incident notification</w:t>
            </w:r>
          </w:p>
        </w:tc>
        <w:tc>
          <w:tcPr>
            <w:tcW w:type="dxa" w:w="3408"/>
            <w:shd w:fill="F4F7FA"/>
            <w:tcMar>
              <w:top w:w="60" w:type="dxa"/>
              <w:start w:w="80" w:type="dxa"/>
              <w:bottom w:w="60" w:type="dxa"/>
              <w:end w:w="80" w:type="dxa"/>
            </w:tcMar>
            <w:vAlign w:val="center"/>
          </w:tcPr>
          <w:p>
            <w:pPr>
              <w:spacing w:after="0" w:line="240" w:lineRule="auto"/>
            </w:pPr>
            <w:r>
              <w:rPr>
                <w:rFonts w:ascii="Aptos" w:hAnsi="Aptos"/>
                <w:color w:val="24303F"/>
                <w:sz w:val="14"/>
              </w:rPr>
              <w:t>Critical</w:t>
            </w:r>
          </w:p>
        </w:tc>
        <w:tc>
          <w:tcPr>
            <w:tcW w:type="dxa" w:w="3408"/>
            <w:shd w:fill="F4F7FA"/>
            <w:tcMar>
              <w:top w:w="60" w:type="dxa"/>
              <w:start w:w="80" w:type="dxa"/>
              <w:bottom w:w="60" w:type="dxa"/>
              <w:end w:w="80" w:type="dxa"/>
            </w:tcMar>
            <w:vAlign w:val="center"/>
          </w:tcPr>
          <w:p>
            <w:pPr>
              <w:spacing w:after="0" w:line="240" w:lineRule="auto"/>
            </w:pPr>
            <w:r>
              <w:rPr>
                <w:rFonts w:ascii="Aptos" w:hAnsi="Aptos"/>
                <w:color w:val="24303F"/>
                <w:sz w:val="14"/>
              </w:rPr>
              <w:t>Require notice within 24 hours of confirmed Trainory impact</w:t>
            </w:r>
          </w:p>
        </w:tc>
      </w:tr>
      <w:tr>
        <w:tc>
          <w:tcPr>
            <w:tcW w:type="dxa" w:w="3408"/>
            <w:tcMar>
              <w:top w:w="60" w:type="dxa"/>
              <w:start w:w="80" w:type="dxa"/>
              <w:bottom w:w="60" w:type="dxa"/>
              <w:end w:w="80" w:type="dxa"/>
            </w:tcMar>
            <w:vAlign w:val="center"/>
          </w:tcPr>
          <w:p>
            <w:pPr>
              <w:spacing w:after="0" w:line="240" w:lineRule="auto"/>
            </w:pPr>
            <w:r>
              <w:rPr>
                <w:rFonts w:ascii="Aptos" w:hAnsi="Aptos"/>
                <w:color w:val="24303F"/>
                <w:sz w:val="14"/>
              </w:rPr>
              <w:t>Disaster recovery</w:t>
            </w:r>
          </w:p>
        </w:tc>
        <w:tc>
          <w:tcPr>
            <w:tcW w:type="dxa" w:w="3408"/>
            <w:tcMar>
              <w:top w:w="60" w:type="dxa"/>
              <w:start w:w="80" w:type="dxa"/>
              <w:bottom w:w="60" w:type="dxa"/>
              <w:end w:w="80" w:type="dxa"/>
            </w:tcMar>
            <w:vAlign w:val="center"/>
          </w:tcPr>
          <w:p>
            <w:pPr>
              <w:spacing w:after="0" w:line="240" w:lineRule="auto"/>
            </w:pPr>
            <w:r>
              <w:rPr>
                <w:rFonts w:ascii="Aptos" w:hAnsi="Aptos"/>
                <w:color w:val="24303F"/>
                <w:sz w:val="14"/>
              </w:rPr>
              <w:t>Critical</w:t>
            </w:r>
          </w:p>
        </w:tc>
        <w:tc>
          <w:tcPr>
            <w:tcW w:type="dxa" w:w="3408"/>
            <w:tcMar>
              <w:top w:w="60" w:type="dxa"/>
              <w:start w:w="80" w:type="dxa"/>
              <w:bottom w:w="60" w:type="dxa"/>
              <w:end w:w="80" w:type="dxa"/>
            </w:tcMar>
            <w:vAlign w:val="center"/>
          </w:tcPr>
          <w:p>
            <w:pPr>
              <w:spacing w:after="0" w:line="240" w:lineRule="auto"/>
            </w:pPr>
            <w:r>
              <w:rPr>
                <w:rFonts w:ascii="Aptos" w:hAnsi="Aptos"/>
                <w:color w:val="24303F"/>
                <w:sz w:val="14"/>
              </w:rPr>
              <w:t>Review current disaster-recovery test results before production approval</w:t>
            </w:r>
          </w:p>
        </w:tc>
      </w:tr>
      <w:tr>
        <w:tc>
          <w:tcPr>
            <w:tcW w:type="dxa" w:w="3408"/>
            <w:shd w:fill="F4F7FA"/>
            <w:tcMar>
              <w:top w:w="60" w:type="dxa"/>
              <w:start w:w="80" w:type="dxa"/>
              <w:bottom w:w="60" w:type="dxa"/>
              <w:end w:w="80" w:type="dxa"/>
            </w:tcMar>
            <w:vAlign w:val="center"/>
          </w:tcPr>
          <w:p>
            <w:pPr>
              <w:spacing w:after="0" w:line="240" w:lineRule="auto"/>
            </w:pPr>
            <w:r>
              <w:rPr>
                <w:rFonts w:ascii="Aptos" w:hAnsi="Aptos"/>
                <w:color w:val="24303F"/>
                <w:sz w:val="14"/>
              </w:rPr>
              <w:t>Retention and deletion</w:t>
            </w:r>
          </w:p>
        </w:tc>
        <w:tc>
          <w:tcPr>
            <w:tcW w:type="dxa" w:w="3408"/>
            <w:shd w:fill="F4F7FA"/>
            <w:tcMar>
              <w:top w:w="60" w:type="dxa"/>
              <w:start w:w="80" w:type="dxa"/>
              <w:bottom w:w="60" w:type="dxa"/>
              <w:end w:w="80" w:type="dxa"/>
            </w:tcMar>
            <w:vAlign w:val="center"/>
          </w:tcPr>
          <w:p>
            <w:pPr>
              <w:spacing w:after="0" w:line="240" w:lineRule="auto"/>
            </w:pPr>
            <w:r>
              <w:rPr>
                <w:rFonts w:ascii="Aptos" w:hAnsi="Aptos"/>
                <w:color w:val="24303F"/>
                <w:sz w:val="14"/>
              </w:rPr>
              <w:t>Critical</w:t>
            </w:r>
          </w:p>
        </w:tc>
        <w:tc>
          <w:tcPr>
            <w:tcW w:type="dxa" w:w="3408"/>
            <w:shd w:fill="F4F7FA"/>
            <w:tcMar>
              <w:top w:w="60" w:type="dxa"/>
              <w:start w:w="80" w:type="dxa"/>
              <w:bottom w:w="60" w:type="dxa"/>
              <w:end w:w="80" w:type="dxa"/>
            </w:tcMar>
            <w:vAlign w:val="center"/>
          </w:tcPr>
          <w:p>
            <w:pPr>
              <w:spacing w:after="0" w:line="240" w:lineRule="auto"/>
            </w:pPr>
            <w:r>
              <w:rPr>
                <w:rFonts w:ascii="Aptos" w:hAnsi="Aptos"/>
                <w:color w:val="24303F"/>
                <w:sz w:val="14"/>
              </w:rPr>
              <w:t>Define retention, backup deletion, timing, and written confirmation</w:t>
            </w:r>
          </w:p>
        </w:tc>
      </w:tr>
      <w:tr>
        <w:tc>
          <w:tcPr>
            <w:tcW w:type="dxa" w:w="3408"/>
            <w:tcMar>
              <w:top w:w="60" w:type="dxa"/>
              <w:start w:w="80" w:type="dxa"/>
              <w:bottom w:w="60" w:type="dxa"/>
              <w:end w:w="80" w:type="dxa"/>
            </w:tcMar>
            <w:vAlign w:val="center"/>
          </w:tcPr>
          <w:p>
            <w:pPr>
              <w:spacing w:after="0" w:line="240" w:lineRule="auto"/>
            </w:pPr>
            <w:r>
              <w:rPr>
                <w:rFonts w:ascii="Aptos" w:hAnsi="Aptos"/>
                <w:color w:val="24303F"/>
                <w:sz w:val="14"/>
              </w:rPr>
              <w:t>Privileged access</w:t>
            </w:r>
          </w:p>
        </w:tc>
        <w:tc>
          <w:tcPr>
            <w:tcW w:type="dxa" w:w="3408"/>
            <w:tcMar>
              <w:top w:w="60" w:type="dxa"/>
              <w:start w:w="80" w:type="dxa"/>
              <w:bottom w:w="60" w:type="dxa"/>
              <w:end w:w="80" w:type="dxa"/>
            </w:tcMar>
            <w:vAlign w:val="center"/>
          </w:tcPr>
          <w:p>
            <w:pPr>
              <w:spacing w:after="0" w:line="240" w:lineRule="auto"/>
            </w:pPr>
            <w:r>
              <w:rPr>
                <w:rFonts w:ascii="Aptos" w:hAnsi="Aptos"/>
                <w:color w:val="24303F"/>
                <w:sz w:val="14"/>
              </w:rPr>
              <w:t>High</w:t>
            </w:r>
          </w:p>
        </w:tc>
        <w:tc>
          <w:tcPr>
            <w:tcW w:type="dxa" w:w="3408"/>
            <w:tcMar>
              <w:top w:w="60" w:type="dxa"/>
              <w:start w:w="80" w:type="dxa"/>
              <w:bottom w:w="60" w:type="dxa"/>
              <w:end w:w="80" w:type="dxa"/>
            </w:tcMar>
            <w:vAlign w:val="center"/>
          </w:tcPr>
          <w:p>
            <w:pPr>
              <w:spacing w:after="0" w:line="240" w:lineRule="auto"/>
            </w:pPr>
            <w:r>
              <w:rPr>
                <w:rFonts w:ascii="Aptos" w:hAnsi="Aptos"/>
                <w:color w:val="24303F"/>
                <w:sz w:val="14"/>
              </w:rPr>
              <w:t>Require quarterly privileged-access review evidence</w:t>
            </w:r>
          </w:p>
        </w:tc>
      </w:tr>
      <w:tr>
        <w:tc>
          <w:tcPr>
            <w:tcW w:type="dxa" w:w="3408"/>
            <w:shd w:fill="F4F7FA"/>
            <w:tcMar>
              <w:top w:w="60" w:type="dxa"/>
              <w:start w:w="80" w:type="dxa"/>
              <w:bottom w:w="60" w:type="dxa"/>
              <w:end w:w="80" w:type="dxa"/>
            </w:tcMar>
            <w:vAlign w:val="center"/>
          </w:tcPr>
          <w:p>
            <w:pPr>
              <w:spacing w:after="0" w:line="240" w:lineRule="auto"/>
            </w:pPr>
            <w:r>
              <w:rPr>
                <w:rFonts w:ascii="Aptos" w:hAnsi="Aptos"/>
                <w:color w:val="24303F"/>
                <w:sz w:val="14"/>
              </w:rPr>
              <w:t>Subprocessor obligations</w:t>
            </w:r>
          </w:p>
        </w:tc>
        <w:tc>
          <w:tcPr>
            <w:tcW w:type="dxa" w:w="3408"/>
            <w:shd w:fill="F4F7FA"/>
            <w:tcMar>
              <w:top w:w="60" w:type="dxa"/>
              <w:start w:w="80" w:type="dxa"/>
              <w:bottom w:w="60" w:type="dxa"/>
              <w:end w:w="80" w:type="dxa"/>
            </w:tcMar>
            <w:vAlign w:val="center"/>
          </w:tcPr>
          <w:p>
            <w:pPr>
              <w:spacing w:after="0" w:line="240" w:lineRule="auto"/>
            </w:pPr>
            <w:r>
              <w:rPr>
                <w:rFonts w:ascii="Aptos" w:hAnsi="Aptos"/>
                <w:color w:val="24303F"/>
                <w:sz w:val="14"/>
              </w:rPr>
              <w:t>High</w:t>
            </w:r>
          </w:p>
        </w:tc>
        <w:tc>
          <w:tcPr>
            <w:tcW w:type="dxa" w:w="3408"/>
            <w:shd w:fill="F4F7FA"/>
            <w:tcMar>
              <w:top w:w="60" w:type="dxa"/>
              <w:start w:w="80" w:type="dxa"/>
              <w:bottom w:w="60" w:type="dxa"/>
              <w:end w:w="80" w:type="dxa"/>
            </w:tcMar>
            <w:vAlign w:val="center"/>
          </w:tcPr>
          <w:p>
            <w:pPr>
              <w:spacing w:after="0" w:line="240" w:lineRule="auto"/>
            </w:pPr>
            <w:r>
              <w:rPr>
                <w:rFonts w:ascii="Aptos" w:hAnsi="Aptos"/>
                <w:color w:val="24303F"/>
                <w:sz w:val="14"/>
              </w:rPr>
              <w:t>Confirm notification, audit-cooperation, security, and termination rights</w:t>
            </w:r>
          </w:p>
        </w:tc>
      </w:tr>
    </w:tbl>
    <w:p>
      <w:r>
        <w:t>Approval boundary: Limit integration scope, use separate credentials, restrict API permissions, enforce contract conditions, and track remediation. Conditional approval is not a claim that the vendor is compliant or risk-free.</w:t>
      </w:r>
    </w:p>
    <w:p>
      <w:r>
        <w:br w:type="page"/>
      </w:r>
    </w:p>
    <w:p>
      <w:pPr>
        <w:pStyle w:val="Heading1"/>
      </w:pPr>
      <w:r>
        <w:t>6. Remediation Roadmap</w:t>
      </w:r>
    </w:p>
    <w:p>
      <w:pPr>
        <w:spacing w:after="100"/>
        <w:pBdr>
          <w:bottom w:val="single" w:sz="12" w:space="1" w:color="E5A823"/>
        </w:pBdr>
      </w:pPr>
    </w:p>
    <w:p>
      <w:r>
        <w:t>The roadmap addresses immediate exposure before broader program maturity work. Accountable owners should validate dates, dependencies, resources, and acceptance authority.</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1152"/>
            <w:shd w:fill="193B5B"/>
            <w:vAlign w:val="center"/>
            <w:tcMar>
              <w:top w:w="60" w:type="dxa"/>
              <w:start w:w="80" w:type="dxa"/>
              <w:bottom w:w="60" w:type="dxa"/>
              <w:end w:w="80" w:type="dxa"/>
            </w:tcMar>
          </w:tcPr>
          <w:p>
            <w:pPr>
              <w:spacing w:after="0"/>
            </w:pPr>
            <w:r>
              <w:rPr>
                <w:b/>
                <w:color w:val="FFFFFF"/>
                <w:sz w:val="14"/>
              </w:rPr>
              <w:t>Timing</w:t>
            </w:r>
          </w:p>
        </w:tc>
        <w:tc>
          <w:tcPr>
            <w:tcW w:type="dxa" w:w="1872"/>
            <w:shd w:fill="193B5B"/>
            <w:vAlign w:val="center"/>
            <w:tcMar>
              <w:top w:w="60" w:type="dxa"/>
              <w:start w:w="80" w:type="dxa"/>
              <w:bottom w:w="60" w:type="dxa"/>
              <w:end w:w="80" w:type="dxa"/>
            </w:tcMar>
          </w:tcPr>
          <w:p>
            <w:pPr>
              <w:spacing w:after="0"/>
            </w:pPr>
            <w:r>
              <w:rPr>
                <w:b/>
                <w:color w:val="FFFFFF"/>
                <w:sz w:val="14"/>
              </w:rPr>
              <w:t>Objective</w:t>
            </w:r>
          </w:p>
        </w:tc>
        <w:tc>
          <w:tcPr>
            <w:tcW w:type="dxa" w:w="5328"/>
            <w:shd w:fill="193B5B"/>
            <w:vAlign w:val="center"/>
            <w:tcMar>
              <w:top w:w="60" w:type="dxa"/>
              <w:start w:w="80" w:type="dxa"/>
              <w:bottom w:w="60" w:type="dxa"/>
              <w:end w:w="80" w:type="dxa"/>
            </w:tcMar>
          </w:tcPr>
          <w:p>
            <w:pPr>
              <w:spacing w:after="0"/>
            </w:pPr>
            <w:r>
              <w:rPr>
                <w:b/>
                <w:color w:val="FFFFFF"/>
                <w:sz w:val="14"/>
              </w:rPr>
              <w:t>Actions</w:t>
            </w:r>
          </w:p>
        </w:tc>
        <w:tc>
          <w:tcPr>
            <w:tcW w:type="dxa" w:w="1872"/>
            <w:shd w:fill="193B5B"/>
            <w:vAlign w:val="center"/>
            <w:tcMar>
              <w:top w:w="60" w:type="dxa"/>
              <w:start w:w="80" w:type="dxa"/>
              <w:bottom w:w="60" w:type="dxa"/>
              <w:end w:w="80" w:type="dxa"/>
            </w:tcMar>
          </w:tcPr>
          <w:p>
            <w:pPr>
              <w:spacing w:after="0"/>
            </w:pPr>
            <w:r>
              <w:rPr>
                <w:b/>
                <w:color w:val="FFFFFF"/>
                <w:sz w:val="14"/>
              </w:rPr>
              <w:t>Accountability</w:t>
            </w:r>
          </w:p>
        </w:tc>
      </w:tr>
      <w:tr>
        <w:tc>
          <w:tcPr>
            <w:tcW w:type="dxa" w:w="1152"/>
            <w:tcMar>
              <w:top w:w="60" w:type="dxa"/>
              <w:start w:w="80" w:type="dxa"/>
              <w:bottom w:w="60" w:type="dxa"/>
              <w:end w:w="80" w:type="dxa"/>
            </w:tcMar>
            <w:vAlign w:val="center"/>
          </w:tcPr>
          <w:p>
            <w:pPr>
              <w:spacing w:after="0" w:line="240" w:lineRule="auto"/>
            </w:pPr>
            <w:r>
              <w:rPr>
                <w:rFonts w:ascii="Aptos" w:hAnsi="Aptos"/>
                <w:color w:val="24303F"/>
                <w:sz w:val="14"/>
              </w:rPr>
              <w:t>0–30 days</w:t>
            </w:r>
          </w:p>
        </w:tc>
        <w:tc>
          <w:tcPr>
            <w:tcW w:type="dxa" w:w="1872"/>
            <w:tcMar>
              <w:top w:w="60" w:type="dxa"/>
              <w:start w:w="80" w:type="dxa"/>
              <w:bottom w:w="60" w:type="dxa"/>
              <w:end w:w="80" w:type="dxa"/>
            </w:tcMar>
            <w:vAlign w:val="center"/>
          </w:tcPr>
          <w:p>
            <w:pPr>
              <w:spacing w:after="0" w:line="240" w:lineRule="auto"/>
            </w:pPr>
            <w:r>
              <w:rPr>
                <w:rFonts w:ascii="Aptos" w:hAnsi="Aptos"/>
                <w:color w:val="24303F"/>
                <w:sz w:val="14"/>
              </w:rPr>
              <w:t>Contain exposure</w:t>
            </w:r>
          </w:p>
        </w:tc>
        <w:tc>
          <w:tcPr>
            <w:tcW w:type="dxa" w:w="5328"/>
            <w:tcMar>
              <w:top w:w="60" w:type="dxa"/>
              <w:start w:w="80" w:type="dxa"/>
              <w:bottom w:w="60" w:type="dxa"/>
              <w:end w:w="80" w:type="dxa"/>
            </w:tcMar>
            <w:vAlign w:val="center"/>
          </w:tcPr>
          <w:p>
            <w:pPr>
              <w:spacing w:after="0" w:line="240" w:lineRule="auto"/>
            </w:pPr>
            <w:r>
              <w:rPr>
                <w:rFonts w:ascii="Aptos" w:hAnsi="Aptos"/>
                <w:color w:val="24303F"/>
                <w:sz w:val="14"/>
              </w:rPr>
              <w:t>Disable terminated access, remove excess privileges, assign the service-account owner, and retain closure evidence</w:t>
            </w:r>
          </w:p>
        </w:tc>
        <w:tc>
          <w:tcPr>
            <w:tcW w:type="dxa" w:w="1872"/>
            <w:tcMar>
              <w:top w:w="60" w:type="dxa"/>
              <w:start w:w="80" w:type="dxa"/>
              <w:bottom w:w="60" w:type="dxa"/>
              <w:end w:w="80" w:type="dxa"/>
            </w:tcMar>
            <w:vAlign w:val="center"/>
          </w:tcPr>
          <w:p>
            <w:pPr>
              <w:spacing w:after="0" w:line="240" w:lineRule="auto"/>
            </w:pPr>
            <w:r>
              <w:rPr>
                <w:rFonts w:ascii="Aptos" w:hAnsi="Aptos"/>
                <w:color w:val="24303F"/>
                <w:sz w:val="14"/>
              </w:rPr>
              <w:t>Cybersecurity, IT, system owners</w:t>
            </w:r>
          </w:p>
        </w:tc>
      </w:tr>
      <w:tr>
        <w:tc>
          <w:tcPr>
            <w:tcW w:type="dxa" w:w="1152"/>
            <w:shd w:fill="F4F7FA"/>
            <w:tcMar>
              <w:top w:w="60" w:type="dxa"/>
              <w:start w:w="80" w:type="dxa"/>
              <w:bottom w:w="60" w:type="dxa"/>
              <w:end w:w="80" w:type="dxa"/>
            </w:tcMar>
            <w:vAlign w:val="center"/>
          </w:tcPr>
          <w:p>
            <w:pPr>
              <w:spacing w:after="0" w:line="240" w:lineRule="auto"/>
            </w:pPr>
            <w:r>
              <w:rPr>
                <w:rFonts w:ascii="Aptos" w:hAnsi="Aptos"/>
                <w:color w:val="24303F"/>
                <w:sz w:val="14"/>
              </w:rPr>
              <w:t>0–30 days</w:t>
            </w:r>
          </w:p>
        </w:tc>
        <w:tc>
          <w:tcPr>
            <w:tcW w:type="dxa" w:w="1872"/>
            <w:shd w:fill="F4F7FA"/>
            <w:tcMar>
              <w:top w:w="60" w:type="dxa"/>
              <w:start w:w="80" w:type="dxa"/>
              <w:bottom w:w="60" w:type="dxa"/>
              <w:end w:w="80" w:type="dxa"/>
            </w:tcMar>
            <w:vAlign w:val="center"/>
          </w:tcPr>
          <w:p>
            <w:pPr>
              <w:spacing w:after="0" w:line="240" w:lineRule="auto"/>
            </w:pPr>
            <w:r>
              <w:rPr>
                <w:rFonts w:ascii="Aptos" w:hAnsi="Aptos"/>
                <w:color w:val="24303F"/>
                <w:sz w:val="14"/>
              </w:rPr>
              <w:t>Set governance</w:t>
            </w:r>
          </w:p>
        </w:tc>
        <w:tc>
          <w:tcPr>
            <w:tcW w:type="dxa" w:w="5328"/>
            <w:shd w:fill="F4F7FA"/>
            <w:tcMar>
              <w:top w:w="60" w:type="dxa"/>
              <w:start w:w="80" w:type="dxa"/>
              <w:bottom w:w="60" w:type="dxa"/>
              <w:end w:w="80" w:type="dxa"/>
            </w:tcMar>
            <w:vAlign w:val="center"/>
          </w:tcPr>
          <w:p>
            <w:pPr>
              <w:spacing w:after="0" w:line="240" w:lineRule="auto"/>
            </w:pPr>
            <w:r>
              <w:rPr>
                <w:rFonts w:ascii="Aptos" w:hAnsi="Aptos"/>
                <w:color w:val="24303F"/>
                <w:sz w:val="14"/>
              </w:rPr>
              <w:t>Approve risk appetite, acceptance authority, control ownership, and monthly remediation review</w:t>
            </w:r>
          </w:p>
        </w:tc>
        <w:tc>
          <w:tcPr>
            <w:tcW w:type="dxa" w:w="1872"/>
            <w:shd w:fill="F4F7FA"/>
            <w:tcMar>
              <w:top w:w="60" w:type="dxa"/>
              <w:start w:w="80" w:type="dxa"/>
              <w:bottom w:w="60" w:type="dxa"/>
              <w:end w:w="80" w:type="dxa"/>
            </w:tcMar>
            <w:vAlign w:val="center"/>
          </w:tcPr>
          <w:p>
            <w:pPr>
              <w:spacing w:after="0" w:line="240" w:lineRule="auto"/>
            </w:pPr>
            <w:r>
              <w:rPr>
                <w:rFonts w:ascii="Aptos" w:hAnsi="Aptos"/>
                <w:color w:val="24303F"/>
                <w:sz w:val="14"/>
              </w:rPr>
              <w:t>Executive leadership, Compliance</w:t>
            </w:r>
          </w:p>
        </w:tc>
      </w:tr>
      <w:tr>
        <w:tc>
          <w:tcPr>
            <w:tcW w:type="dxa" w:w="1152"/>
            <w:tcMar>
              <w:top w:w="60" w:type="dxa"/>
              <w:start w:w="80" w:type="dxa"/>
              <w:bottom w:w="60" w:type="dxa"/>
              <w:end w:w="80" w:type="dxa"/>
            </w:tcMar>
            <w:vAlign w:val="center"/>
          </w:tcPr>
          <w:p>
            <w:pPr>
              <w:spacing w:after="0" w:line="240" w:lineRule="auto"/>
            </w:pPr>
            <w:r>
              <w:rPr>
                <w:rFonts w:ascii="Aptos" w:hAnsi="Aptos"/>
                <w:color w:val="24303F"/>
                <w:sz w:val="14"/>
              </w:rPr>
              <w:t>31–60 days</w:t>
            </w:r>
          </w:p>
        </w:tc>
        <w:tc>
          <w:tcPr>
            <w:tcW w:type="dxa" w:w="1872"/>
            <w:tcMar>
              <w:top w:w="60" w:type="dxa"/>
              <w:start w:w="80" w:type="dxa"/>
              <w:bottom w:w="60" w:type="dxa"/>
              <w:end w:w="80" w:type="dxa"/>
            </w:tcMar>
            <w:vAlign w:val="center"/>
          </w:tcPr>
          <w:p>
            <w:pPr>
              <w:spacing w:after="0" w:line="240" w:lineRule="auto"/>
            </w:pPr>
            <w:r>
              <w:rPr>
                <w:rFonts w:ascii="Aptos" w:hAnsi="Aptos"/>
                <w:color w:val="24303F"/>
                <w:sz w:val="14"/>
              </w:rPr>
              <w:t>Strengthen vendor conditions</w:t>
            </w:r>
          </w:p>
        </w:tc>
        <w:tc>
          <w:tcPr>
            <w:tcW w:type="dxa" w:w="5328"/>
            <w:tcMar>
              <w:top w:w="60" w:type="dxa"/>
              <w:start w:w="80" w:type="dxa"/>
              <w:bottom w:w="60" w:type="dxa"/>
              <w:end w:w="80" w:type="dxa"/>
            </w:tcMar>
            <w:vAlign w:val="center"/>
          </w:tcPr>
          <w:p>
            <w:pPr>
              <w:spacing w:after="0" w:line="240" w:lineRule="auto"/>
            </w:pPr>
            <w:r>
              <w:rPr>
                <w:rFonts w:ascii="Aptos" w:hAnsi="Aptos"/>
                <w:color w:val="24303F"/>
                <w:sz w:val="14"/>
              </w:rPr>
              <w:t>Resolve notification, disaster recovery, retention, assurance, and subprocessor requirements</w:t>
            </w:r>
          </w:p>
        </w:tc>
        <w:tc>
          <w:tcPr>
            <w:tcW w:type="dxa" w:w="1872"/>
            <w:tcMar>
              <w:top w:w="60" w:type="dxa"/>
              <w:start w:w="80" w:type="dxa"/>
              <w:bottom w:w="60" w:type="dxa"/>
              <w:end w:w="80" w:type="dxa"/>
            </w:tcMar>
            <w:vAlign w:val="center"/>
          </w:tcPr>
          <w:p>
            <w:pPr>
              <w:spacing w:after="0" w:line="240" w:lineRule="auto"/>
            </w:pPr>
            <w:r>
              <w:rPr>
                <w:rFonts w:ascii="Aptos" w:hAnsi="Aptos"/>
                <w:color w:val="24303F"/>
                <w:sz w:val="14"/>
              </w:rPr>
              <w:t>Vendor Management, Privacy/Legal</w:t>
            </w:r>
          </w:p>
        </w:tc>
      </w:tr>
      <w:tr>
        <w:tc>
          <w:tcPr>
            <w:tcW w:type="dxa" w:w="1152"/>
            <w:shd w:fill="F4F7FA"/>
            <w:tcMar>
              <w:top w:w="60" w:type="dxa"/>
              <w:start w:w="80" w:type="dxa"/>
              <w:bottom w:w="60" w:type="dxa"/>
              <w:end w:w="80" w:type="dxa"/>
            </w:tcMar>
            <w:vAlign w:val="center"/>
          </w:tcPr>
          <w:p>
            <w:pPr>
              <w:spacing w:after="0" w:line="240" w:lineRule="auto"/>
            </w:pPr>
            <w:r>
              <w:rPr>
                <w:rFonts w:ascii="Aptos" w:hAnsi="Aptos"/>
                <w:color w:val="24303F"/>
                <w:sz w:val="14"/>
              </w:rPr>
              <w:t>31–60 days</w:t>
            </w:r>
          </w:p>
        </w:tc>
        <w:tc>
          <w:tcPr>
            <w:tcW w:type="dxa" w:w="1872"/>
            <w:shd w:fill="F4F7FA"/>
            <w:tcMar>
              <w:top w:w="60" w:type="dxa"/>
              <w:start w:w="80" w:type="dxa"/>
              <w:bottom w:w="60" w:type="dxa"/>
              <w:end w:w="80" w:type="dxa"/>
            </w:tcMar>
            <w:vAlign w:val="center"/>
          </w:tcPr>
          <w:p>
            <w:pPr>
              <w:spacing w:after="0" w:line="240" w:lineRule="auto"/>
            </w:pPr>
            <w:r>
              <w:rPr>
                <w:rFonts w:ascii="Aptos" w:hAnsi="Aptos"/>
                <w:color w:val="24303F"/>
                <w:sz w:val="14"/>
              </w:rPr>
              <w:t>Improve protection</w:t>
            </w:r>
          </w:p>
        </w:tc>
        <w:tc>
          <w:tcPr>
            <w:tcW w:type="dxa" w:w="5328"/>
            <w:shd w:fill="F4F7FA"/>
            <w:tcMar>
              <w:top w:w="60" w:type="dxa"/>
              <w:start w:w="80" w:type="dxa"/>
              <w:bottom w:w="60" w:type="dxa"/>
              <w:end w:w="80" w:type="dxa"/>
            </w:tcMar>
            <w:vAlign w:val="center"/>
          </w:tcPr>
          <w:p>
            <w:pPr>
              <w:spacing w:after="0" w:line="240" w:lineRule="auto"/>
            </w:pPr>
            <w:r>
              <w:rPr>
                <w:rFonts w:ascii="Aptos" w:hAnsi="Aptos"/>
                <w:color w:val="24303F"/>
                <w:sz w:val="14"/>
              </w:rPr>
              <w:t>Implement configuration baselines, scanning, patch SLAs, least privilege, and account safeguards</w:t>
            </w:r>
          </w:p>
        </w:tc>
        <w:tc>
          <w:tcPr>
            <w:tcW w:type="dxa" w:w="1872"/>
            <w:shd w:fill="F4F7FA"/>
            <w:tcMar>
              <w:top w:w="60" w:type="dxa"/>
              <w:start w:w="80" w:type="dxa"/>
              <w:bottom w:w="60" w:type="dxa"/>
              <w:end w:w="80" w:type="dxa"/>
            </w:tcMar>
            <w:vAlign w:val="center"/>
          </w:tcPr>
          <w:p>
            <w:pPr>
              <w:spacing w:after="0" w:line="240" w:lineRule="auto"/>
            </w:pPr>
            <w:r>
              <w:rPr>
                <w:rFonts w:ascii="Aptos" w:hAnsi="Aptos"/>
                <w:color w:val="24303F"/>
                <w:sz w:val="14"/>
              </w:rPr>
              <w:t>Cloud, Development, Cybersecurity</w:t>
            </w:r>
          </w:p>
        </w:tc>
      </w:tr>
      <w:tr>
        <w:tc>
          <w:tcPr>
            <w:tcW w:type="dxa" w:w="1152"/>
            <w:tcMar>
              <w:top w:w="60" w:type="dxa"/>
              <w:start w:w="80" w:type="dxa"/>
              <w:bottom w:w="60" w:type="dxa"/>
              <w:end w:w="80" w:type="dxa"/>
            </w:tcMar>
            <w:vAlign w:val="center"/>
          </w:tcPr>
          <w:p>
            <w:pPr>
              <w:spacing w:after="0" w:line="240" w:lineRule="auto"/>
            </w:pPr>
            <w:r>
              <w:rPr>
                <w:rFonts w:ascii="Aptos" w:hAnsi="Aptos"/>
                <w:color w:val="24303F"/>
                <w:sz w:val="14"/>
              </w:rPr>
              <w:t>61–90 days</w:t>
            </w:r>
          </w:p>
        </w:tc>
        <w:tc>
          <w:tcPr>
            <w:tcW w:type="dxa" w:w="1872"/>
            <w:tcMar>
              <w:top w:w="60" w:type="dxa"/>
              <w:start w:w="80" w:type="dxa"/>
              <w:bottom w:w="60" w:type="dxa"/>
              <w:end w:w="80" w:type="dxa"/>
            </w:tcMar>
            <w:vAlign w:val="center"/>
          </w:tcPr>
          <w:p>
            <w:pPr>
              <w:spacing w:after="0" w:line="240" w:lineRule="auto"/>
            </w:pPr>
            <w:r>
              <w:rPr>
                <w:rFonts w:ascii="Aptos" w:hAnsi="Aptos"/>
                <w:color w:val="24303F"/>
                <w:sz w:val="14"/>
              </w:rPr>
              <w:t>Validate response and recovery</w:t>
            </w:r>
          </w:p>
        </w:tc>
        <w:tc>
          <w:tcPr>
            <w:tcW w:type="dxa" w:w="5328"/>
            <w:tcMar>
              <w:top w:w="60" w:type="dxa"/>
              <w:start w:w="80" w:type="dxa"/>
              <w:bottom w:w="60" w:type="dxa"/>
              <w:end w:w="80" w:type="dxa"/>
            </w:tcMar>
            <w:vAlign w:val="center"/>
          </w:tcPr>
          <w:p>
            <w:pPr>
              <w:spacing w:after="0" w:line="240" w:lineRule="auto"/>
            </w:pPr>
            <w:r>
              <w:rPr>
                <w:rFonts w:ascii="Aptos" w:hAnsi="Aptos"/>
                <w:color w:val="24303F"/>
                <w:sz w:val="14"/>
              </w:rPr>
              <w:t>Conduct an incident tabletop and restoration test; record lessons and corrective actions</w:t>
            </w:r>
          </w:p>
        </w:tc>
        <w:tc>
          <w:tcPr>
            <w:tcW w:type="dxa" w:w="1872"/>
            <w:tcMar>
              <w:top w:w="60" w:type="dxa"/>
              <w:start w:w="80" w:type="dxa"/>
              <w:bottom w:w="60" w:type="dxa"/>
              <w:end w:w="80" w:type="dxa"/>
            </w:tcMar>
            <w:vAlign w:val="center"/>
          </w:tcPr>
          <w:p>
            <w:pPr>
              <w:spacing w:after="0" w:line="240" w:lineRule="auto"/>
            </w:pPr>
            <w:r>
              <w:rPr>
                <w:rFonts w:ascii="Aptos" w:hAnsi="Aptos"/>
                <w:color w:val="24303F"/>
                <w:sz w:val="14"/>
              </w:rPr>
              <w:t>Incident team, Cloud, Communications</w:t>
            </w:r>
          </w:p>
        </w:tc>
      </w:tr>
      <w:tr>
        <w:tc>
          <w:tcPr>
            <w:tcW w:type="dxa" w:w="1152"/>
            <w:shd w:fill="F4F7FA"/>
            <w:tcMar>
              <w:top w:w="60" w:type="dxa"/>
              <w:start w:w="80" w:type="dxa"/>
              <w:bottom w:w="60" w:type="dxa"/>
              <w:end w:w="80" w:type="dxa"/>
            </w:tcMar>
            <w:vAlign w:val="center"/>
          </w:tcPr>
          <w:p>
            <w:pPr>
              <w:spacing w:after="0" w:line="240" w:lineRule="auto"/>
            </w:pPr>
            <w:r>
              <w:rPr>
                <w:rFonts w:ascii="Aptos" w:hAnsi="Aptos"/>
                <w:color w:val="24303F"/>
                <w:sz w:val="14"/>
              </w:rPr>
              <w:t>61–90 days</w:t>
            </w:r>
          </w:p>
        </w:tc>
        <w:tc>
          <w:tcPr>
            <w:tcW w:type="dxa" w:w="1872"/>
            <w:shd w:fill="F4F7FA"/>
            <w:tcMar>
              <w:top w:w="60" w:type="dxa"/>
              <w:start w:w="80" w:type="dxa"/>
              <w:bottom w:w="60" w:type="dxa"/>
              <w:end w:w="80" w:type="dxa"/>
            </w:tcMar>
            <w:vAlign w:val="center"/>
          </w:tcPr>
          <w:p>
            <w:pPr>
              <w:spacing w:after="0" w:line="240" w:lineRule="auto"/>
            </w:pPr>
            <w:r>
              <w:rPr>
                <w:rFonts w:ascii="Aptos" w:hAnsi="Aptos"/>
                <w:color w:val="24303F"/>
                <w:sz w:val="14"/>
              </w:rPr>
              <w:t>Measure effectiveness</w:t>
            </w:r>
          </w:p>
        </w:tc>
        <w:tc>
          <w:tcPr>
            <w:tcW w:type="dxa" w:w="5328"/>
            <w:shd w:fill="F4F7FA"/>
            <w:tcMar>
              <w:top w:w="60" w:type="dxa"/>
              <w:start w:w="80" w:type="dxa"/>
              <w:bottom w:w="60" w:type="dxa"/>
              <w:end w:w="80" w:type="dxa"/>
            </w:tcMar>
            <w:vAlign w:val="center"/>
          </w:tcPr>
          <w:p>
            <w:pPr>
              <w:spacing w:after="0" w:line="240" w:lineRule="auto"/>
            </w:pPr>
            <w:r>
              <w:rPr>
                <w:rFonts w:ascii="Aptos" w:hAnsi="Aptos"/>
                <w:color w:val="24303F"/>
                <w:sz w:val="14"/>
              </w:rPr>
              <w:t>Collect recurring evidence, retest findings, update residual risk, and report trends</w:t>
            </w:r>
          </w:p>
        </w:tc>
        <w:tc>
          <w:tcPr>
            <w:tcW w:type="dxa" w:w="1872"/>
            <w:shd w:fill="F4F7FA"/>
            <w:tcMar>
              <w:top w:w="60" w:type="dxa"/>
              <w:start w:w="80" w:type="dxa"/>
              <w:bottom w:w="60" w:type="dxa"/>
              <w:end w:w="80" w:type="dxa"/>
            </w:tcMar>
            <w:vAlign w:val="center"/>
          </w:tcPr>
          <w:p>
            <w:pPr>
              <w:spacing w:after="0" w:line="240" w:lineRule="auto"/>
            </w:pPr>
            <w:r>
              <w:rPr>
                <w:rFonts w:ascii="Aptos" w:hAnsi="Aptos"/>
                <w:color w:val="24303F"/>
                <w:sz w:val="14"/>
              </w:rPr>
              <w:t>GRC, control owners, Internal Audit</w:t>
            </w:r>
          </w:p>
        </w:tc>
      </w:tr>
    </w:tbl>
    <w:p>
      <w:pPr>
        <w:pStyle w:val="Heading2"/>
      </w:pPr>
      <w:r>
        <w:t>Governance cadence</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fill="193B5B"/>
            <w:vAlign w:val="center"/>
            <w:tcMar>
              <w:top w:w="60" w:type="dxa"/>
              <w:start w:w="80" w:type="dxa"/>
              <w:bottom w:w="60" w:type="dxa"/>
              <w:end w:w="80" w:type="dxa"/>
            </w:tcMar>
          </w:tcPr>
          <w:p>
            <w:pPr>
              <w:spacing w:after="0"/>
            </w:pPr>
            <w:r>
              <w:rPr>
                <w:b/>
                <w:color w:val="FFFFFF"/>
                <w:sz w:val="15"/>
              </w:rPr>
              <w:t>Cadence</w:t>
            </w:r>
          </w:p>
        </w:tc>
        <w:tc>
          <w:tcPr>
            <w:tcW w:type="dxa" w:w="3408"/>
            <w:shd w:fill="193B5B"/>
            <w:vAlign w:val="center"/>
            <w:tcMar>
              <w:top w:w="60" w:type="dxa"/>
              <w:start w:w="80" w:type="dxa"/>
              <w:bottom w:w="60" w:type="dxa"/>
              <w:end w:w="80" w:type="dxa"/>
            </w:tcMar>
          </w:tcPr>
          <w:p>
            <w:pPr>
              <w:spacing w:after="0"/>
            </w:pPr>
            <w:r>
              <w:rPr>
                <w:b/>
                <w:color w:val="FFFFFF"/>
                <w:sz w:val="15"/>
              </w:rPr>
              <w:t>Review</w:t>
            </w:r>
          </w:p>
        </w:tc>
        <w:tc>
          <w:tcPr>
            <w:tcW w:type="dxa" w:w="3408"/>
            <w:shd w:fill="193B5B"/>
            <w:vAlign w:val="center"/>
            <w:tcMar>
              <w:top w:w="60" w:type="dxa"/>
              <w:start w:w="80" w:type="dxa"/>
              <w:bottom w:w="60" w:type="dxa"/>
              <w:end w:w="80" w:type="dxa"/>
            </w:tcMar>
          </w:tcPr>
          <w:p>
            <w:pPr>
              <w:spacing w:after="0"/>
            </w:pPr>
            <w:r>
              <w:rPr>
                <w:b/>
                <w:color w:val="FFFFFF"/>
                <w:sz w:val="15"/>
              </w:rPr>
              <w:t>Participants</w:t>
            </w:r>
          </w:p>
        </w:tc>
      </w:tr>
      <w:tr>
        <w:tc>
          <w:tcPr>
            <w:tcW w:type="dxa" w:w="3408"/>
            <w:tcMar>
              <w:top w:w="60" w:type="dxa"/>
              <w:start w:w="80" w:type="dxa"/>
              <w:bottom w:w="60" w:type="dxa"/>
              <w:end w:w="80" w:type="dxa"/>
            </w:tcMar>
            <w:vAlign w:val="center"/>
          </w:tcPr>
          <w:p>
            <w:pPr>
              <w:spacing w:after="0" w:line="240" w:lineRule="auto"/>
            </w:pPr>
            <w:r>
              <w:rPr>
                <w:rFonts w:ascii="Aptos" w:hAnsi="Aptos"/>
                <w:color w:val="24303F"/>
                <w:sz w:val="15"/>
              </w:rPr>
              <w:t>Monthly</w:t>
            </w:r>
          </w:p>
        </w:tc>
        <w:tc>
          <w:tcPr>
            <w:tcW w:type="dxa" w:w="3408"/>
            <w:tcMar>
              <w:top w:w="60" w:type="dxa"/>
              <w:start w:w="80" w:type="dxa"/>
              <w:bottom w:w="60" w:type="dxa"/>
              <w:end w:w="80" w:type="dxa"/>
            </w:tcMar>
            <w:vAlign w:val="center"/>
          </w:tcPr>
          <w:p>
            <w:pPr>
              <w:spacing w:after="0" w:line="240" w:lineRule="auto"/>
            </w:pPr>
            <w:r>
              <w:rPr>
                <w:rFonts w:ascii="Aptos" w:hAnsi="Aptos"/>
                <w:color w:val="24303F"/>
                <w:sz w:val="15"/>
              </w:rPr>
              <w:t>High-risk remediation and overdue findings</w:t>
            </w:r>
          </w:p>
        </w:tc>
        <w:tc>
          <w:tcPr>
            <w:tcW w:type="dxa" w:w="3408"/>
            <w:tcMar>
              <w:top w:w="60" w:type="dxa"/>
              <w:start w:w="80" w:type="dxa"/>
              <w:bottom w:w="60" w:type="dxa"/>
              <w:end w:w="80" w:type="dxa"/>
            </w:tcMar>
            <w:vAlign w:val="center"/>
          </w:tcPr>
          <w:p>
            <w:pPr>
              <w:spacing w:after="0" w:line="240" w:lineRule="auto"/>
            </w:pPr>
            <w:r>
              <w:rPr>
                <w:rFonts w:ascii="Aptos" w:hAnsi="Aptos"/>
                <w:color w:val="24303F"/>
                <w:sz w:val="15"/>
              </w:rPr>
              <w:t>Risk owners and executive sponsor</w:t>
            </w:r>
          </w:p>
        </w:tc>
      </w:tr>
      <w:tr>
        <w:tc>
          <w:tcPr>
            <w:tcW w:type="dxa" w:w="3408"/>
            <w:shd w:fill="F4F7FA"/>
            <w:tcMar>
              <w:top w:w="60" w:type="dxa"/>
              <w:start w:w="80" w:type="dxa"/>
              <w:bottom w:w="60" w:type="dxa"/>
              <w:end w:w="80" w:type="dxa"/>
            </w:tcMar>
            <w:vAlign w:val="center"/>
          </w:tcPr>
          <w:p>
            <w:pPr>
              <w:spacing w:after="0" w:line="240" w:lineRule="auto"/>
            </w:pPr>
            <w:r>
              <w:rPr>
                <w:rFonts w:ascii="Aptos" w:hAnsi="Aptos"/>
                <w:color w:val="24303F"/>
                <w:sz w:val="15"/>
              </w:rPr>
              <w:t>Quarterly</w:t>
            </w:r>
          </w:p>
        </w:tc>
        <w:tc>
          <w:tcPr>
            <w:tcW w:type="dxa" w:w="3408"/>
            <w:shd w:fill="F4F7FA"/>
            <w:tcMar>
              <w:top w:w="60" w:type="dxa"/>
              <w:start w:w="80" w:type="dxa"/>
              <w:bottom w:w="60" w:type="dxa"/>
              <w:end w:w="80" w:type="dxa"/>
            </w:tcMar>
            <w:vAlign w:val="center"/>
          </w:tcPr>
          <w:p>
            <w:pPr>
              <w:spacing w:after="0" w:line="240" w:lineRule="auto"/>
            </w:pPr>
            <w:r>
              <w:rPr>
                <w:rFonts w:ascii="Aptos" w:hAnsi="Aptos"/>
                <w:color w:val="24303F"/>
                <w:sz w:val="15"/>
              </w:rPr>
              <w:t>Risk register, access, vulnerability, and recovery metrics</w:t>
            </w:r>
          </w:p>
        </w:tc>
        <w:tc>
          <w:tcPr>
            <w:tcW w:type="dxa" w:w="3408"/>
            <w:shd w:fill="F4F7FA"/>
            <w:tcMar>
              <w:top w:w="60" w:type="dxa"/>
              <w:start w:w="80" w:type="dxa"/>
              <w:bottom w:w="60" w:type="dxa"/>
              <w:end w:w="80" w:type="dxa"/>
            </w:tcMar>
            <w:vAlign w:val="center"/>
          </w:tcPr>
          <w:p>
            <w:pPr>
              <w:spacing w:after="0" w:line="240" w:lineRule="auto"/>
            </w:pPr>
            <w:r>
              <w:rPr>
                <w:rFonts w:ascii="Aptos" w:hAnsi="Aptos"/>
                <w:color w:val="24303F"/>
                <w:sz w:val="15"/>
              </w:rPr>
              <w:t>GRC and control owners</w:t>
            </w:r>
          </w:p>
        </w:tc>
      </w:tr>
      <w:tr>
        <w:tc>
          <w:tcPr>
            <w:tcW w:type="dxa" w:w="3408"/>
            <w:tcMar>
              <w:top w:w="60" w:type="dxa"/>
              <w:start w:w="80" w:type="dxa"/>
              <w:bottom w:w="60" w:type="dxa"/>
              <w:end w:w="80" w:type="dxa"/>
            </w:tcMar>
            <w:vAlign w:val="center"/>
          </w:tcPr>
          <w:p>
            <w:pPr>
              <w:spacing w:after="0" w:line="240" w:lineRule="auto"/>
            </w:pPr>
            <w:r>
              <w:rPr>
                <w:rFonts w:ascii="Aptos" w:hAnsi="Aptos"/>
                <w:color w:val="24303F"/>
                <w:sz w:val="15"/>
              </w:rPr>
              <w:t>Annually</w:t>
            </w:r>
          </w:p>
        </w:tc>
        <w:tc>
          <w:tcPr>
            <w:tcW w:type="dxa" w:w="3408"/>
            <w:tcMar>
              <w:top w:w="60" w:type="dxa"/>
              <w:start w:w="80" w:type="dxa"/>
              <w:bottom w:w="60" w:type="dxa"/>
              <w:end w:w="80" w:type="dxa"/>
            </w:tcMar>
            <w:vAlign w:val="center"/>
          </w:tcPr>
          <w:p>
            <w:pPr>
              <w:spacing w:after="0" w:line="240" w:lineRule="auto"/>
            </w:pPr>
            <w:r>
              <w:rPr>
                <w:rFonts w:ascii="Aptos" w:hAnsi="Aptos"/>
                <w:color w:val="24303F"/>
                <w:sz w:val="15"/>
              </w:rPr>
              <w:t>Policies, vendor assessment, CSF maturity, and incident exercise</w:t>
            </w:r>
          </w:p>
        </w:tc>
        <w:tc>
          <w:tcPr>
            <w:tcW w:type="dxa" w:w="3408"/>
            <w:tcMar>
              <w:top w:w="60" w:type="dxa"/>
              <w:start w:w="80" w:type="dxa"/>
              <w:bottom w:w="60" w:type="dxa"/>
              <w:end w:w="80" w:type="dxa"/>
            </w:tcMar>
            <w:vAlign w:val="center"/>
          </w:tcPr>
          <w:p>
            <w:pPr>
              <w:spacing w:after="0" w:line="240" w:lineRule="auto"/>
            </w:pPr>
            <w:r>
              <w:rPr>
                <w:rFonts w:ascii="Aptos" w:hAnsi="Aptos"/>
                <w:color w:val="24303F"/>
                <w:sz w:val="15"/>
              </w:rPr>
              <w:t>Executive leadership and GRC</w:t>
            </w:r>
          </w:p>
        </w:tc>
      </w:tr>
      <w:tr>
        <w:tc>
          <w:tcPr>
            <w:tcW w:type="dxa" w:w="3408"/>
            <w:shd w:fill="F4F7FA"/>
            <w:tcMar>
              <w:top w:w="60" w:type="dxa"/>
              <w:start w:w="80" w:type="dxa"/>
              <w:bottom w:w="60" w:type="dxa"/>
              <w:end w:w="80" w:type="dxa"/>
            </w:tcMar>
            <w:vAlign w:val="center"/>
          </w:tcPr>
          <w:p>
            <w:pPr>
              <w:spacing w:after="0" w:line="240" w:lineRule="auto"/>
            </w:pPr>
            <w:r>
              <w:rPr>
                <w:rFonts w:ascii="Aptos" w:hAnsi="Aptos"/>
                <w:color w:val="24303F"/>
                <w:sz w:val="15"/>
              </w:rPr>
              <w:t>Event-driven</w:t>
            </w:r>
          </w:p>
        </w:tc>
        <w:tc>
          <w:tcPr>
            <w:tcW w:type="dxa" w:w="3408"/>
            <w:shd w:fill="F4F7FA"/>
            <w:tcMar>
              <w:top w:w="60" w:type="dxa"/>
              <w:start w:w="80" w:type="dxa"/>
              <w:bottom w:w="60" w:type="dxa"/>
              <w:end w:w="80" w:type="dxa"/>
            </w:tcMar>
            <w:vAlign w:val="center"/>
          </w:tcPr>
          <w:p>
            <w:pPr>
              <w:spacing w:after="0" w:line="240" w:lineRule="auto"/>
            </w:pPr>
            <w:r>
              <w:rPr>
                <w:rFonts w:ascii="Aptos" w:hAnsi="Aptos"/>
                <w:color w:val="24303F"/>
                <w:sz w:val="15"/>
              </w:rPr>
              <w:t>Material incidents, architecture changes, new data use, or vendor changes</w:t>
            </w:r>
          </w:p>
        </w:tc>
        <w:tc>
          <w:tcPr>
            <w:tcW w:type="dxa" w:w="3408"/>
            <w:shd w:fill="F4F7FA"/>
            <w:tcMar>
              <w:top w:w="60" w:type="dxa"/>
              <w:start w:w="80" w:type="dxa"/>
              <w:bottom w:w="60" w:type="dxa"/>
              <w:end w:w="80" w:type="dxa"/>
            </w:tcMar>
            <w:vAlign w:val="center"/>
          </w:tcPr>
          <w:p>
            <w:pPr>
              <w:spacing w:after="0" w:line="240" w:lineRule="auto"/>
            </w:pPr>
            <w:r>
              <w:rPr>
                <w:rFonts w:ascii="Aptos" w:hAnsi="Aptos"/>
                <w:color w:val="24303F"/>
                <w:sz w:val="15"/>
              </w:rPr>
              <w:t>Relevant owner with GRC review</w:t>
            </w:r>
          </w:p>
        </w:tc>
      </w:tr>
    </w:tbl>
    <w:p>
      <w:pPr>
        <w:pStyle w:val="Heading2"/>
      </w:pPr>
      <w:r>
        <w:t>Success measures</w:t>
      </w:r>
    </w:p>
    <w:p>
      <w:pPr>
        <w:pStyle w:val="ListBullet"/>
        <w:spacing w:after="40"/>
        <w:ind w:left="259" w:hanging="187"/>
      </w:pPr>
      <w:r>
        <w:t>Reduce High residual risks after evidence-based reassessment.</w:t>
      </w:r>
    </w:p>
    <w:p>
      <w:pPr>
        <w:pStyle w:val="ListBullet"/>
        <w:spacing w:after="40"/>
        <w:ind w:left="259" w:hanging="187"/>
      </w:pPr>
      <w:r>
        <w:t>Close Critical access and vendor findings or obtain authorized risk acceptance.</w:t>
      </w:r>
    </w:p>
    <w:p>
      <w:pPr>
        <w:pStyle w:val="ListBullet"/>
        <w:spacing w:after="40"/>
        <w:ind w:left="259" w:hanging="187"/>
      </w:pPr>
      <w:r>
        <w:t>Increase maturity through verified implementation, not documentation alone.</w:t>
      </w:r>
    </w:p>
    <w:p>
      <w:pPr>
        <w:pStyle w:val="ListBullet"/>
        <w:spacing w:after="40"/>
        <w:ind w:left="259" w:hanging="187"/>
      </w:pPr>
      <w:r>
        <w:t>Complete access reviews, incident exercises, and restoration tests on schedule.</w:t>
      </w:r>
    </w:p>
    <w:p>
      <w:r>
        <w:br w:type="page"/>
      </w:r>
    </w:p>
    <w:p>
      <w:pPr>
        <w:pStyle w:val="Heading1"/>
      </w:pPr>
      <w:r>
        <w:t>7. Management Conclusion</w:t>
      </w:r>
    </w:p>
    <w:p>
      <w:pPr>
        <w:spacing w:after="100"/>
        <w:pBdr>
          <w:bottom w:val="single" w:sz="12" w:space="1" w:color="E5A823"/>
        </w:pBdr>
      </w:pPr>
    </w:p>
    <w:p>
      <w:r>
        <w:t>Trainory has established an asset inventory, risk register, control assessment, governance documents, vendor due diligence, access certification, analytics dashboard, and automated risk reporting. Together, these deliverables connect assets to risks, controls, evidence, findings, remediation, and management decisions.</w:t>
      </w:r>
    </w:p>
    <w:p>
      <w:r>
        <w:t>The current assessment does not support declaring the environment mature or fully compliant. Risk is elevated but manageable through immediate access correction, vendor conditions, stronger technical controls, tested response and recovery, and recurring evidence-based oversight.</w:t>
      </w:r>
    </w:p>
    <w:tbl>
      <w:tblPr>
        <w:tblStyle w:val="TableGrid"/>
        <w:tblW w:type="auto" w:w="0"/>
        <w:jc w:val="center"/>
        <w:tblLayout w:type="autofit"/>
        <w:tblLook w:firstColumn="1" w:firstRow="1" w:lastColumn="0" w:lastRow="0" w:noHBand="0" w:noVBand="1" w:val="04A0"/>
      </w:tblPr>
      <w:tblGrid>
        <w:gridCol w:w="10224"/>
      </w:tblGrid>
      <w:tr>
        <w:tc>
          <w:tcPr>
            <w:tcW w:type="dxa" w:w="10224"/>
            <w:shd w:fill="193B5B"/>
            <w:vAlign w:val="center"/>
            <w:tcMar>
              <w:top w:w="60" w:type="dxa"/>
              <w:start w:w="80" w:type="dxa"/>
              <w:bottom w:w="60" w:type="dxa"/>
              <w:end w:w="80" w:type="dxa"/>
            </w:tcMar>
          </w:tcPr>
          <w:p>
            <w:pPr>
              <w:spacing w:after="0"/>
            </w:pPr>
            <w:r>
              <w:rPr>
                <w:b/>
                <w:color w:val="FFFFFF"/>
                <w:sz w:val="18"/>
              </w:rPr>
              <w:t>Recommended disposition</w:t>
            </w:r>
          </w:p>
        </w:tc>
      </w:tr>
      <w:tr>
        <w:tc>
          <w:tcPr>
            <w:tcW w:type="dxa" w:w="10224"/>
            <w:tcMar>
              <w:top w:w="60" w:type="dxa"/>
              <w:start w:w="80" w:type="dxa"/>
              <w:bottom w:w="60" w:type="dxa"/>
              <w:end w:w="80" w:type="dxa"/>
            </w:tcMar>
            <w:vAlign w:val="center"/>
            <w:shd w:fill="E7EFF6"/>
          </w:tcPr>
          <w:p>
            <w:pPr>
              <w:spacing w:after="0" w:line="240" w:lineRule="auto"/>
            </w:pPr>
            <w:r>
              <w:rPr>
                <w:rFonts w:ascii="Aptos" w:hAnsi="Aptos"/>
                <w:color w:val="24303F"/>
                <w:sz w:val="18"/>
              </w:rPr>
              <w:t>Approve continued controlled operation and limited conditional vendor integration, subject to the 90-day roadmap, monthly executive review, closure validation, and formal acceptance of residual risk above tolerance.</w:t>
            </w:r>
          </w:p>
        </w:tc>
      </w:tr>
    </w:tbl>
    <w:p>
      <w:pPr>
        <w:pStyle w:val="Heading2"/>
      </w:pPr>
      <w:r>
        <w:t>Assessment evidence</w:t>
      </w:r>
    </w:p>
    <w:tbl>
      <w:tblPr>
        <w:tblStyle w:val="TableGrid"/>
        <w:tblW w:type="auto" w:w="0"/>
        <w:jc w:val="center"/>
        <w:tblLayout w:type="autofit"/>
        <w:tblLook w:firstColumn="1" w:firstRow="1" w:lastColumn="0" w:lastRow="0" w:noHBand="0" w:noVBand="1" w:val="04A0"/>
      </w:tblPr>
      <w:tblGrid>
        <w:gridCol w:w="5112"/>
        <w:gridCol w:w="5112"/>
      </w:tblGrid>
      <w:tr>
        <w:tc>
          <w:tcPr>
            <w:tcW w:type="dxa" w:w="2880"/>
            <w:shd w:fill="193B5B"/>
            <w:vAlign w:val="center"/>
            <w:tcMar>
              <w:top w:w="60" w:type="dxa"/>
              <w:start w:w="80" w:type="dxa"/>
              <w:bottom w:w="60" w:type="dxa"/>
              <w:end w:w="80" w:type="dxa"/>
            </w:tcMar>
          </w:tcPr>
          <w:p>
            <w:pPr>
              <w:spacing w:after="0"/>
            </w:pPr>
            <w:r>
              <w:rPr>
                <w:b/>
                <w:color w:val="FFFFFF"/>
                <w:sz w:val="14"/>
              </w:rPr>
              <w:t>Deliverable</w:t>
            </w:r>
          </w:p>
        </w:tc>
        <w:tc>
          <w:tcPr>
            <w:tcW w:type="dxa" w:w="7200"/>
            <w:shd w:fill="193B5B"/>
            <w:vAlign w:val="center"/>
            <w:tcMar>
              <w:top w:w="60" w:type="dxa"/>
              <w:start w:w="80" w:type="dxa"/>
              <w:bottom w:w="60" w:type="dxa"/>
              <w:end w:w="80" w:type="dxa"/>
            </w:tcMar>
          </w:tcPr>
          <w:p>
            <w:pPr>
              <w:spacing w:after="0"/>
            </w:pPr>
            <w:r>
              <w:rPr>
                <w:b/>
                <w:color w:val="FFFFFF"/>
                <w:sz w:val="14"/>
              </w:rPr>
              <w:t>Evidence demonstrated</w:t>
            </w:r>
          </w:p>
        </w:tc>
      </w:tr>
      <w:tr>
        <w:tc>
          <w:tcPr>
            <w:tcW w:type="dxa" w:w="2880"/>
            <w:tcMar>
              <w:top w:w="60" w:type="dxa"/>
              <w:start w:w="80" w:type="dxa"/>
              <w:bottom w:w="60" w:type="dxa"/>
              <w:end w:w="80" w:type="dxa"/>
            </w:tcMar>
            <w:vAlign w:val="center"/>
          </w:tcPr>
          <w:p>
            <w:pPr>
              <w:spacing w:after="0" w:line="240" w:lineRule="auto"/>
            </w:pPr>
            <w:r>
              <w:rPr>
                <w:rFonts w:ascii="Aptos" w:hAnsi="Aptos"/>
                <w:color w:val="24303F"/>
                <w:sz w:val="14"/>
              </w:rPr>
              <w:t>Company Profile and Scope</w:t>
            </w:r>
          </w:p>
        </w:tc>
        <w:tc>
          <w:tcPr>
            <w:tcW w:type="dxa" w:w="7200"/>
            <w:tcMar>
              <w:top w:w="60" w:type="dxa"/>
              <w:start w:w="80" w:type="dxa"/>
              <w:bottom w:w="60" w:type="dxa"/>
              <w:end w:w="80" w:type="dxa"/>
            </w:tcMar>
            <w:vAlign w:val="center"/>
          </w:tcPr>
          <w:p>
            <w:pPr>
              <w:spacing w:after="0" w:line="240" w:lineRule="auto"/>
            </w:pPr>
            <w:r>
              <w:rPr>
                <w:rFonts w:ascii="Aptos" w:hAnsi="Aptos"/>
                <w:color w:val="24303F"/>
                <w:sz w:val="14"/>
              </w:rPr>
              <w:t>Business context, system boundary, stakeholders, and assumptions</w:t>
            </w:r>
          </w:p>
        </w:tc>
      </w:tr>
      <w:tr>
        <w:tc>
          <w:tcPr>
            <w:tcW w:type="dxa" w:w="2880"/>
            <w:shd w:fill="F4F7FA"/>
            <w:tcMar>
              <w:top w:w="60" w:type="dxa"/>
              <w:start w:w="80" w:type="dxa"/>
              <w:bottom w:w="60" w:type="dxa"/>
              <w:end w:w="80" w:type="dxa"/>
            </w:tcMar>
            <w:vAlign w:val="center"/>
          </w:tcPr>
          <w:p>
            <w:pPr>
              <w:spacing w:after="0" w:line="240" w:lineRule="auto"/>
            </w:pPr>
            <w:r>
              <w:rPr>
                <w:rFonts w:ascii="Aptos" w:hAnsi="Aptos"/>
                <w:color w:val="24303F"/>
                <w:sz w:val="14"/>
              </w:rPr>
              <w:t>Asset Inventory</w:t>
            </w:r>
          </w:p>
        </w:tc>
        <w:tc>
          <w:tcPr>
            <w:tcW w:type="dxa" w:w="7200"/>
            <w:shd w:fill="F4F7FA"/>
            <w:tcMar>
              <w:top w:w="60" w:type="dxa"/>
              <w:start w:w="80" w:type="dxa"/>
              <w:bottom w:w="60" w:type="dxa"/>
              <w:end w:w="80" w:type="dxa"/>
            </w:tcMar>
            <w:vAlign w:val="center"/>
          </w:tcPr>
          <w:p>
            <w:pPr>
              <w:spacing w:after="0" w:line="240" w:lineRule="auto"/>
            </w:pPr>
            <w:r>
              <w:rPr>
                <w:rFonts w:ascii="Aptos" w:hAnsi="Aptos"/>
                <w:color w:val="24303F"/>
                <w:sz w:val="14"/>
              </w:rPr>
              <w:t>Assets, ownership, sensitivity, criticality, and dependencies</w:t>
            </w:r>
          </w:p>
        </w:tc>
      </w:tr>
      <w:tr>
        <w:tc>
          <w:tcPr>
            <w:tcW w:type="dxa" w:w="2880"/>
            <w:tcMar>
              <w:top w:w="60" w:type="dxa"/>
              <w:start w:w="80" w:type="dxa"/>
              <w:bottom w:w="60" w:type="dxa"/>
              <w:end w:w="80" w:type="dxa"/>
            </w:tcMar>
            <w:vAlign w:val="center"/>
          </w:tcPr>
          <w:p>
            <w:pPr>
              <w:spacing w:after="0" w:line="240" w:lineRule="auto"/>
            </w:pPr>
            <w:r>
              <w:rPr>
                <w:rFonts w:ascii="Aptos" w:hAnsi="Aptos"/>
                <w:color w:val="24303F"/>
                <w:sz w:val="14"/>
              </w:rPr>
              <w:t>Cybersecurity Risk Register</w:t>
            </w:r>
          </w:p>
        </w:tc>
        <w:tc>
          <w:tcPr>
            <w:tcW w:type="dxa" w:w="7200"/>
            <w:tcMar>
              <w:top w:w="60" w:type="dxa"/>
              <w:start w:w="80" w:type="dxa"/>
              <w:bottom w:w="60" w:type="dxa"/>
              <w:end w:w="80" w:type="dxa"/>
            </w:tcMar>
            <w:vAlign w:val="center"/>
          </w:tcPr>
          <w:p>
            <w:pPr>
              <w:spacing w:after="0" w:line="240" w:lineRule="auto"/>
            </w:pPr>
            <w:r>
              <w:rPr>
                <w:rFonts w:ascii="Aptos" w:hAnsi="Aptos"/>
                <w:color w:val="24303F"/>
                <w:sz w:val="14"/>
              </w:rPr>
              <w:t>Inherent and residual scoring, treatment, ownership, and actions</w:t>
            </w:r>
          </w:p>
        </w:tc>
      </w:tr>
      <w:tr>
        <w:tc>
          <w:tcPr>
            <w:tcW w:type="dxa" w:w="2880"/>
            <w:shd w:fill="F4F7FA"/>
            <w:tcMar>
              <w:top w:w="60" w:type="dxa"/>
              <w:start w:w="80" w:type="dxa"/>
              <w:bottom w:w="60" w:type="dxa"/>
              <w:end w:w="80" w:type="dxa"/>
            </w:tcMar>
            <w:vAlign w:val="center"/>
          </w:tcPr>
          <w:p>
            <w:pPr>
              <w:spacing w:after="0" w:line="240" w:lineRule="auto"/>
            </w:pPr>
            <w:r>
              <w:rPr>
                <w:rFonts w:ascii="Aptos" w:hAnsi="Aptos"/>
                <w:color w:val="24303F"/>
                <w:sz w:val="14"/>
              </w:rPr>
              <w:t>NIST CSF 2.0 Assessment</w:t>
            </w:r>
          </w:p>
        </w:tc>
        <w:tc>
          <w:tcPr>
            <w:tcW w:type="dxa" w:w="7200"/>
            <w:shd w:fill="F4F7FA"/>
            <w:tcMar>
              <w:top w:w="60" w:type="dxa"/>
              <w:start w:w="80" w:type="dxa"/>
              <w:bottom w:w="60" w:type="dxa"/>
              <w:end w:w="80" w:type="dxa"/>
            </w:tcMar>
            <w:vAlign w:val="center"/>
          </w:tcPr>
          <w:p>
            <w:pPr>
              <w:spacing w:after="0" w:line="240" w:lineRule="auto"/>
            </w:pPr>
            <w:r>
              <w:rPr>
                <w:rFonts w:ascii="Aptos" w:hAnsi="Aptos"/>
                <w:color w:val="24303F"/>
                <w:sz w:val="14"/>
              </w:rPr>
              <w:t>Control status, evidence, gaps, priorities, and framework mapping</w:t>
            </w:r>
          </w:p>
        </w:tc>
      </w:tr>
      <w:tr>
        <w:tc>
          <w:tcPr>
            <w:tcW w:type="dxa" w:w="2880"/>
            <w:tcMar>
              <w:top w:w="60" w:type="dxa"/>
              <w:start w:w="80" w:type="dxa"/>
              <w:bottom w:w="60" w:type="dxa"/>
              <w:end w:w="80" w:type="dxa"/>
            </w:tcMar>
            <w:vAlign w:val="center"/>
          </w:tcPr>
          <w:p>
            <w:pPr>
              <w:spacing w:after="0" w:line="240" w:lineRule="auto"/>
            </w:pPr>
            <w:r>
              <w:rPr>
                <w:rFonts w:ascii="Aptos" w:hAnsi="Aptos"/>
                <w:color w:val="24303F"/>
                <w:sz w:val="14"/>
              </w:rPr>
              <w:t>Access Control Policy</w:t>
            </w:r>
          </w:p>
        </w:tc>
        <w:tc>
          <w:tcPr>
            <w:tcW w:type="dxa" w:w="7200"/>
            <w:tcMar>
              <w:top w:w="60" w:type="dxa"/>
              <w:start w:w="80" w:type="dxa"/>
              <w:bottom w:w="60" w:type="dxa"/>
              <w:end w:w="80" w:type="dxa"/>
            </w:tcMar>
            <w:vAlign w:val="center"/>
          </w:tcPr>
          <w:p>
            <w:pPr>
              <w:spacing w:after="0" w:line="240" w:lineRule="auto"/>
            </w:pPr>
            <w:r>
              <w:rPr>
                <w:rFonts w:ascii="Aptos" w:hAnsi="Aptos"/>
                <w:color w:val="24303F"/>
                <w:sz w:val="14"/>
              </w:rPr>
              <w:t>Identity lifecycle, least privilege, reviews, and exceptions</w:t>
            </w:r>
          </w:p>
        </w:tc>
      </w:tr>
      <w:tr>
        <w:tc>
          <w:tcPr>
            <w:tcW w:type="dxa" w:w="2880"/>
            <w:shd w:fill="F4F7FA"/>
            <w:tcMar>
              <w:top w:w="60" w:type="dxa"/>
              <w:start w:w="80" w:type="dxa"/>
              <w:bottom w:w="60" w:type="dxa"/>
              <w:end w:w="80" w:type="dxa"/>
            </w:tcMar>
            <w:vAlign w:val="center"/>
          </w:tcPr>
          <w:p>
            <w:pPr>
              <w:spacing w:after="0" w:line="240" w:lineRule="auto"/>
            </w:pPr>
            <w:r>
              <w:rPr>
                <w:rFonts w:ascii="Aptos" w:hAnsi="Aptos"/>
                <w:color w:val="24303F"/>
                <w:sz w:val="14"/>
              </w:rPr>
              <w:t>Incident Response Plan</w:t>
            </w:r>
          </w:p>
        </w:tc>
        <w:tc>
          <w:tcPr>
            <w:tcW w:type="dxa" w:w="7200"/>
            <w:shd w:fill="F4F7FA"/>
            <w:tcMar>
              <w:top w:w="60" w:type="dxa"/>
              <w:start w:w="80" w:type="dxa"/>
              <w:bottom w:w="60" w:type="dxa"/>
              <w:end w:w="80" w:type="dxa"/>
            </w:tcMar>
            <w:vAlign w:val="center"/>
          </w:tcPr>
          <w:p>
            <w:pPr>
              <w:spacing w:after="0" w:line="240" w:lineRule="auto"/>
            </w:pPr>
            <w:r>
              <w:rPr>
                <w:rFonts w:ascii="Aptos" w:hAnsi="Aptos"/>
                <w:color w:val="24303F"/>
                <w:sz w:val="14"/>
              </w:rPr>
              <w:t>Roles, severity, lifecycle, communications, and exercises</w:t>
            </w:r>
          </w:p>
        </w:tc>
      </w:tr>
      <w:tr>
        <w:tc>
          <w:tcPr>
            <w:tcW w:type="dxa" w:w="2880"/>
            <w:tcMar>
              <w:top w:w="60" w:type="dxa"/>
              <w:start w:w="80" w:type="dxa"/>
              <w:bottom w:w="60" w:type="dxa"/>
              <w:end w:w="80" w:type="dxa"/>
            </w:tcMar>
            <w:vAlign w:val="center"/>
          </w:tcPr>
          <w:p>
            <w:pPr>
              <w:spacing w:after="0" w:line="240" w:lineRule="auto"/>
            </w:pPr>
            <w:r>
              <w:rPr>
                <w:rFonts w:ascii="Aptos" w:hAnsi="Aptos"/>
                <w:color w:val="24303F"/>
                <w:sz w:val="14"/>
              </w:rPr>
              <w:t>Vendor Risk Assessment</w:t>
            </w:r>
          </w:p>
        </w:tc>
        <w:tc>
          <w:tcPr>
            <w:tcW w:type="dxa" w:w="7200"/>
            <w:tcMar>
              <w:top w:w="60" w:type="dxa"/>
              <w:start w:w="80" w:type="dxa"/>
              <w:bottom w:w="60" w:type="dxa"/>
              <w:end w:w="80" w:type="dxa"/>
            </w:tcMar>
            <w:vAlign w:val="center"/>
          </w:tcPr>
          <w:p>
            <w:pPr>
              <w:spacing w:after="0" w:line="240" w:lineRule="auto"/>
            </w:pPr>
            <w:r>
              <w:rPr>
                <w:rFonts w:ascii="Aptos" w:hAnsi="Aptos"/>
                <w:color w:val="24303F"/>
                <w:sz w:val="14"/>
              </w:rPr>
              <w:t>VitaSync due diligence, findings, and conditional decision</w:t>
            </w:r>
          </w:p>
        </w:tc>
      </w:tr>
      <w:tr>
        <w:tc>
          <w:tcPr>
            <w:tcW w:type="dxa" w:w="2880"/>
            <w:shd w:fill="F4F7FA"/>
            <w:tcMar>
              <w:top w:w="60" w:type="dxa"/>
              <w:start w:w="80" w:type="dxa"/>
              <w:bottom w:w="60" w:type="dxa"/>
              <w:end w:w="80" w:type="dxa"/>
            </w:tcMar>
            <w:vAlign w:val="center"/>
          </w:tcPr>
          <w:p>
            <w:pPr>
              <w:spacing w:after="0" w:line="240" w:lineRule="auto"/>
            </w:pPr>
            <w:r>
              <w:rPr>
                <w:rFonts w:ascii="Aptos" w:hAnsi="Aptos"/>
                <w:color w:val="24303F"/>
                <w:sz w:val="14"/>
              </w:rPr>
              <w:t>Quarterly Access Review</w:t>
            </w:r>
          </w:p>
        </w:tc>
        <w:tc>
          <w:tcPr>
            <w:tcW w:type="dxa" w:w="7200"/>
            <w:shd w:fill="F4F7FA"/>
            <w:tcMar>
              <w:top w:w="60" w:type="dxa"/>
              <w:start w:w="80" w:type="dxa"/>
              <w:bottom w:w="60" w:type="dxa"/>
              <w:end w:w="80" w:type="dxa"/>
            </w:tcMar>
            <w:vAlign w:val="center"/>
          </w:tcPr>
          <w:p>
            <w:pPr>
              <w:spacing w:after="0" w:line="240" w:lineRule="auto"/>
            </w:pPr>
            <w:r>
              <w:rPr>
                <w:rFonts w:ascii="Aptos" w:hAnsi="Aptos"/>
                <w:color w:val="24303F"/>
                <w:sz w:val="14"/>
              </w:rPr>
              <w:t>Certification decisions, evidence log, and corrective actions</w:t>
            </w:r>
          </w:p>
        </w:tc>
      </w:tr>
      <w:tr>
        <w:tc>
          <w:tcPr>
            <w:tcW w:type="dxa" w:w="2880"/>
            <w:tcMar>
              <w:top w:w="60" w:type="dxa"/>
              <w:start w:w="80" w:type="dxa"/>
              <w:bottom w:w="60" w:type="dxa"/>
              <w:end w:w="80" w:type="dxa"/>
            </w:tcMar>
            <w:vAlign w:val="center"/>
          </w:tcPr>
          <w:p>
            <w:pPr>
              <w:spacing w:after="0" w:line="240" w:lineRule="auto"/>
            </w:pPr>
            <w:r>
              <w:rPr>
                <w:rFonts w:ascii="Aptos" w:hAnsi="Aptos"/>
                <w:color w:val="24303F"/>
                <w:sz w:val="14"/>
              </w:rPr>
              <w:t>GRC Analytics Dashboard</w:t>
            </w:r>
          </w:p>
        </w:tc>
        <w:tc>
          <w:tcPr>
            <w:tcW w:type="dxa" w:w="7200"/>
            <w:tcMar>
              <w:top w:w="60" w:type="dxa"/>
              <w:start w:w="80" w:type="dxa"/>
              <w:bottom w:w="60" w:type="dxa"/>
              <w:end w:w="80" w:type="dxa"/>
            </w:tcMar>
            <w:vAlign w:val="center"/>
          </w:tcPr>
          <w:p>
            <w:pPr>
              <w:spacing w:after="0" w:line="240" w:lineRule="auto"/>
            </w:pPr>
            <w:r>
              <w:rPr>
                <w:rFonts w:ascii="Aptos" w:hAnsi="Aptos"/>
                <w:color w:val="24303F"/>
                <w:sz w:val="14"/>
              </w:rPr>
              <w:t>Formula-driven KPIs, charts, and normalized source data</w:t>
            </w:r>
          </w:p>
        </w:tc>
      </w:tr>
      <w:tr>
        <w:tc>
          <w:tcPr>
            <w:tcW w:type="dxa" w:w="2880"/>
            <w:shd w:fill="F4F7FA"/>
            <w:tcMar>
              <w:top w:w="60" w:type="dxa"/>
              <w:start w:w="80" w:type="dxa"/>
              <w:bottom w:w="60" w:type="dxa"/>
              <w:end w:w="80" w:type="dxa"/>
            </w:tcMar>
            <w:vAlign w:val="center"/>
          </w:tcPr>
          <w:p>
            <w:pPr>
              <w:spacing w:after="0" w:line="240" w:lineRule="auto"/>
            </w:pPr>
            <w:r>
              <w:rPr>
                <w:rFonts w:ascii="Aptos" w:hAnsi="Aptos"/>
                <w:color w:val="24303F"/>
                <w:sz w:val="14"/>
              </w:rPr>
              <w:t>Python Risk Scoring Tool</w:t>
            </w:r>
          </w:p>
        </w:tc>
        <w:tc>
          <w:tcPr>
            <w:tcW w:type="dxa" w:w="7200"/>
            <w:shd w:fill="F4F7FA"/>
            <w:tcMar>
              <w:top w:w="60" w:type="dxa"/>
              <w:start w:w="80" w:type="dxa"/>
              <w:bottom w:w="60" w:type="dxa"/>
              <w:end w:w="80" w:type="dxa"/>
            </w:tcMar>
            <w:vAlign w:val="center"/>
          </w:tcPr>
          <w:p>
            <w:pPr>
              <w:spacing w:after="0" w:line="240" w:lineRule="auto"/>
            </w:pPr>
            <w:r>
              <w:rPr>
                <w:rFonts w:ascii="Aptos" w:hAnsi="Aptos"/>
                <w:color w:val="24303F"/>
                <w:sz w:val="14"/>
              </w:rPr>
              <w:t>Validation, scoring, prioritization, reporting, and tests</w:t>
            </w:r>
          </w:p>
        </w:tc>
      </w:tr>
    </w:tbl>
    <w:p>
      <w:r>
        <w:t>Framework reference: National Institute of Standards and Technology, Cybersecurity Framework 2.0 — https://www.nist.gov/cyberframework</w:t>
      </w:r>
    </w:p>
    <w:p>
      <w:r>
        <w:rPr>
          <w:i/>
          <w:color w:val="5B6B7E"/>
          <w:sz w:val="16"/>
        </w:rPr>
        <w:t>Case study notice: Trainory, VitaSync, all people, systems, ratings, evidence, findings, dates, and decisions are fictional. This report is not an audit opinion, certification, legal conclusion, or production authorization.</w:t>
      </w:r>
    </w:p>
    <w:sectPr w:rsidR="00FC693F" w:rsidRPr="0006063C" w:rsidSect="00034616">
      <w:headerReference w:type="default" r:id="rId9"/>
      <w:footerReference w:type="default" r:id="rId10"/>
      <w:pgSz w:w="12240" w:h="15840"/>
      <w:pgMar w:top="792" w:right="1008" w:bottom="792"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B7E"/>
        <w:sz w:val="16"/>
      </w:rPr>
      <w:t xml:space="preserve">Jared Sanchez  |  GRC Case Study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93B5B"/>
        <w:sz w:val="16"/>
      </w:rPr>
      <w:t>TRAINORY  |  EXECUTIVE GRC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color w:val="24303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100"/>
      <w:outlineLvl w:val="0"/>
    </w:pPr>
    <w:rPr>
      <w:rFonts w:asciiTheme="majorHAnsi" w:eastAsiaTheme="majorEastAsia" w:hAnsiTheme="majorHAnsi" w:cstheme="majorBidi" w:ascii="Aptos Display" w:hAnsi="Aptos Display"/>
      <w:b/>
      <w:bCs/>
      <w:color w:val="193B5B"/>
      <w:sz w:val="34"/>
      <w:szCs w:val="28"/>
    </w:rPr>
  </w:style>
  <w:style w:type="paragraph" w:styleId="Heading2">
    <w:name w:val="heading 2"/>
    <w:basedOn w:val="Normal"/>
    <w:next w:val="Normal"/>
    <w:link w:val="Heading2Char"/>
    <w:uiPriority w:val="9"/>
    <w:unhideWhenUsed/>
    <w:qFormat/>
    <w:rsid w:val="00FC693F"/>
    <w:pPr>
      <w:keepNext/>
      <w:keepLines/>
      <w:spacing w:before="40" w:after="100"/>
      <w:outlineLvl w:val="1"/>
    </w:pPr>
    <w:rPr>
      <w:rFonts w:asciiTheme="majorHAnsi" w:eastAsiaTheme="majorEastAsia" w:hAnsiTheme="majorHAnsi" w:cstheme="majorBidi" w:ascii="Aptos Display" w:hAnsi="Aptos Display"/>
      <w:b/>
      <w:bCs/>
      <w:color w:val="2F6D9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40"/>
      <w:contextualSpacing/>
    </w:pPr>
    <w:rPr>
      <w:rFonts w:asciiTheme="majorHAnsi" w:eastAsiaTheme="majorEastAsia" w:hAnsiTheme="majorHAnsi" w:cstheme="majorBidi" w:ascii="Aptos Display" w:hAnsi="Aptos Display"/>
      <w:b/>
      <w:color w:val="193B5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