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i w:val="0"/>
          <w:color w:val="2E74B5"/>
          <w:sz w:val="18"/>
        </w:rPr>
        <w:t>SECURITY POLICY</w:t>
      </w:r>
    </w:p>
    <w:p>
      <w:pPr>
        <w:spacing w:after="80"/>
      </w:pPr>
      <w:r>
        <w:rPr>
          <w:rFonts w:ascii="Calibri" w:hAnsi="Calibri"/>
          <w:b/>
          <w:i w:val="0"/>
          <w:color w:val="16324F"/>
          <w:sz w:val="52"/>
        </w:rPr>
        <w:t>Access Control Policy</w:t>
      </w:r>
    </w:p>
    <w:p>
      <w:pPr>
        <w:spacing w:after="320"/>
      </w:pPr>
      <w:r>
        <w:rPr>
          <w:rFonts w:ascii="Calibri" w:hAnsi="Calibri"/>
          <w:b w:val="0"/>
          <w:i w:val="0"/>
          <w:color w:val="555555"/>
          <w:sz w:val="26"/>
        </w:rPr>
        <w:t>Identity, authentication, authorization, and account lifecycle requirements</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F2F4F7"/>
            <w:vAlign w:val="center"/>
            <w:tcMar>
              <w:top w:w="80" w:type="dxa"/>
              <w:start w:w="120" w:type="dxa"/>
              <w:bottom w:w="80" w:type="dxa"/>
              <w:end w:w="120" w:type="dxa"/>
            </w:tcMar>
          </w:tcPr>
          <w:p>
            <w:r/>
            <w:r>
              <w:rPr>
                <w:rFonts w:ascii="Calibri" w:hAnsi="Calibri"/>
                <w:b/>
                <w:i w:val="0"/>
                <w:color w:val="16324F"/>
                <w:sz w:val="22"/>
              </w:rPr>
              <w:t>Policy owner</w:t>
            </w:r>
          </w:p>
        </w:tc>
        <w:tc>
          <w:tcPr>
            <w:tcW w:type="dxa" w:w="6660"/>
            <w:vAlign w:val="center"/>
            <w:tcMar>
              <w:top w:w="80" w:type="dxa"/>
              <w:start w:w="120" w:type="dxa"/>
              <w:bottom w:w="80" w:type="dxa"/>
              <w:end w:w="120" w:type="dxa"/>
            </w:tcMar>
          </w:tcPr>
          <w:p>
            <w:r/>
            <w:r>
              <w:rPr>
                <w:rFonts w:ascii="Calibri" w:hAnsi="Calibri"/>
                <w:b w:val="0"/>
                <w:i w:val="0"/>
                <w:color w:val="000000"/>
                <w:sz w:val="22"/>
              </w:rPr>
              <w:t>Cybersecurity and Compliance</w:t>
            </w:r>
          </w:p>
        </w:tc>
      </w:tr>
      <w:tr>
        <w:tc>
          <w:tcPr>
            <w:tcW w:type="dxa" w:w="2700"/>
            <w:shd w:fill="F2F4F7"/>
            <w:vAlign w:val="center"/>
            <w:tcMar>
              <w:top w:w="80" w:type="dxa"/>
              <w:start w:w="120" w:type="dxa"/>
              <w:bottom w:w="80" w:type="dxa"/>
              <w:end w:w="120" w:type="dxa"/>
            </w:tcMar>
          </w:tcPr>
          <w:p>
            <w:r/>
            <w:r>
              <w:rPr>
                <w:rFonts w:ascii="Calibri" w:hAnsi="Calibri"/>
                <w:b/>
                <w:i w:val="0"/>
                <w:color w:val="16324F"/>
                <w:sz w:val="22"/>
              </w:rPr>
              <w:t>Approving authority</w:t>
            </w:r>
          </w:p>
        </w:tc>
        <w:tc>
          <w:tcPr>
            <w:tcW w:type="dxa" w:w="6660"/>
            <w:vAlign w:val="center"/>
            <w:tcMar>
              <w:top w:w="80" w:type="dxa"/>
              <w:start w:w="120" w:type="dxa"/>
              <w:bottom w:w="80" w:type="dxa"/>
              <w:end w:w="120" w:type="dxa"/>
            </w:tcMar>
          </w:tcPr>
          <w:p>
            <w:r/>
            <w:r>
              <w:rPr>
                <w:rFonts w:ascii="Calibri" w:hAnsi="Calibri"/>
                <w:b w:val="0"/>
                <w:i w:val="0"/>
                <w:color w:val="000000"/>
                <w:sz w:val="22"/>
              </w:rPr>
              <w:t>Executive Leadership</w:t>
            </w:r>
          </w:p>
        </w:tc>
      </w:tr>
      <w:tr>
        <w:tc>
          <w:tcPr>
            <w:tcW w:type="dxa" w:w="2700"/>
            <w:shd w:fill="F2F4F7"/>
            <w:vAlign w:val="center"/>
            <w:tcMar>
              <w:top w:w="80" w:type="dxa"/>
              <w:start w:w="120" w:type="dxa"/>
              <w:bottom w:w="80" w:type="dxa"/>
              <w:end w:w="120" w:type="dxa"/>
            </w:tcMar>
          </w:tcPr>
          <w:p>
            <w:r/>
            <w:r>
              <w:rPr>
                <w:rFonts w:ascii="Calibri" w:hAnsi="Calibri"/>
                <w:b/>
                <w:i w:val="0"/>
                <w:color w:val="16324F"/>
                <w:sz w:val="22"/>
              </w:rPr>
              <w:t>Version</w:t>
            </w:r>
          </w:p>
        </w:tc>
        <w:tc>
          <w:tcPr>
            <w:tcW w:type="dxa" w:w="6660"/>
            <w:vAlign w:val="center"/>
            <w:tcMar>
              <w:top w:w="80" w:type="dxa"/>
              <w:start w:w="120" w:type="dxa"/>
              <w:bottom w:w="80" w:type="dxa"/>
              <w:end w:w="120" w:type="dxa"/>
            </w:tcMar>
          </w:tcPr>
          <w:p>
            <w:r/>
            <w:r>
              <w:rPr>
                <w:rFonts w:ascii="Calibri" w:hAnsi="Calibri"/>
                <w:b w:val="0"/>
                <w:i w:val="0"/>
                <w:color w:val="000000"/>
                <w:sz w:val="22"/>
              </w:rPr>
              <w:t>1.0</w:t>
            </w:r>
          </w:p>
        </w:tc>
      </w:tr>
      <w:tr>
        <w:tc>
          <w:tcPr>
            <w:tcW w:type="dxa" w:w="2700"/>
            <w:shd w:fill="F2F4F7"/>
            <w:vAlign w:val="center"/>
            <w:tcMar>
              <w:top w:w="80" w:type="dxa"/>
              <w:start w:w="120" w:type="dxa"/>
              <w:bottom w:w="80" w:type="dxa"/>
              <w:end w:w="120" w:type="dxa"/>
            </w:tcMar>
          </w:tcPr>
          <w:p>
            <w:r/>
            <w:r>
              <w:rPr>
                <w:rFonts w:ascii="Calibri" w:hAnsi="Calibri"/>
                <w:b/>
                <w:i w:val="0"/>
                <w:color w:val="16324F"/>
                <w:sz w:val="22"/>
              </w:rPr>
              <w:t>Effective date</w:t>
            </w:r>
          </w:p>
        </w:tc>
        <w:tc>
          <w:tcPr>
            <w:tcW w:type="dxa" w:w="6660"/>
            <w:vAlign w:val="center"/>
            <w:tcMar>
              <w:top w:w="80" w:type="dxa"/>
              <w:start w:w="120" w:type="dxa"/>
              <w:bottom w:w="80" w:type="dxa"/>
              <w:end w:w="120" w:type="dxa"/>
            </w:tcMar>
          </w:tcPr>
          <w:p>
            <w:r/>
            <w:r>
              <w:rPr>
                <w:rFonts w:ascii="Calibri" w:hAnsi="Calibri"/>
                <w:b w:val="0"/>
                <w:i w:val="0"/>
                <w:color w:val="000000"/>
                <w:sz w:val="22"/>
              </w:rPr>
              <w:t>October 1, 2026</w:t>
            </w:r>
          </w:p>
        </w:tc>
      </w:tr>
      <w:tr>
        <w:tc>
          <w:tcPr>
            <w:tcW w:type="dxa" w:w="2700"/>
            <w:shd w:fill="F2F4F7"/>
            <w:vAlign w:val="center"/>
            <w:tcMar>
              <w:top w:w="80" w:type="dxa"/>
              <w:start w:w="120" w:type="dxa"/>
              <w:bottom w:w="80" w:type="dxa"/>
              <w:end w:w="120" w:type="dxa"/>
            </w:tcMar>
          </w:tcPr>
          <w:p>
            <w:r/>
            <w:r>
              <w:rPr>
                <w:rFonts w:ascii="Calibri" w:hAnsi="Calibri"/>
                <w:b/>
                <w:i w:val="0"/>
                <w:color w:val="16324F"/>
                <w:sz w:val="22"/>
              </w:rPr>
              <w:t>Review cycle</w:t>
            </w:r>
          </w:p>
        </w:tc>
        <w:tc>
          <w:tcPr>
            <w:tcW w:type="dxa" w:w="6660"/>
            <w:vAlign w:val="center"/>
            <w:tcMar>
              <w:top w:w="80" w:type="dxa"/>
              <w:start w:w="120" w:type="dxa"/>
              <w:bottom w:w="80" w:type="dxa"/>
              <w:end w:w="120" w:type="dxa"/>
            </w:tcMar>
          </w:tcPr>
          <w:p>
            <w:r/>
            <w:r>
              <w:rPr>
                <w:rFonts w:ascii="Calibri" w:hAnsi="Calibri"/>
                <w:b w:val="0"/>
                <w:i w:val="0"/>
                <w:color w:val="000000"/>
                <w:sz w:val="22"/>
              </w:rPr>
              <w:t>At least annually and after material changes</w:t>
            </w:r>
          </w:p>
        </w:tc>
      </w:tr>
      <w:tr>
        <w:tc>
          <w:tcPr>
            <w:tcW w:type="dxa" w:w="2700"/>
            <w:shd w:fill="F2F4F7"/>
            <w:vAlign w:val="center"/>
            <w:tcMar>
              <w:top w:w="80" w:type="dxa"/>
              <w:start w:w="120" w:type="dxa"/>
              <w:bottom w:w="80" w:type="dxa"/>
              <w:end w:w="120" w:type="dxa"/>
            </w:tcMar>
          </w:tcPr>
          <w:p>
            <w:r/>
            <w:r>
              <w:rPr>
                <w:rFonts w:ascii="Calibri" w:hAnsi="Calibri"/>
                <w:b/>
                <w:i w:val="0"/>
                <w:color w:val="16324F"/>
                <w:sz w:val="22"/>
              </w:rPr>
              <w:t>Status</w:t>
            </w:r>
          </w:p>
        </w:tc>
        <w:tc>
          <w:tcPr>
            <w:tcW w:type="dxa" w:w="6660"/>
            <w:vAlign w:val="center"/>
            <w:tcMar>
              <w:top w:w="80" w:type="dxa"/>
              <w:start w:w="120" w:type="dxa"/>
              <w:bottom w:w="80" w:type="dxa"/>
              <w:end w:w="120" w:type="dxa"/>
            </w:tcMar>
          </w:tcPr>
          <w:p>
            <w:r/>
            <w:r>
              <w:rPr>
                <w:rFonts w:ascii="Calibri" w:hAnsi="Calibri"/>
                <w:b w:val="0"/>
                <w:i w:val="0"/>
                <w:color w:val="000000"/>
                <w:sz w:val="22"/>
              </w:rPr>
              <w:t>Portfolio draft - fictional company</w:t>
            </w:r>
          </w:p>
        </w:tc>
      </w:tr>
    </w:tbl>
    <w:p>
      <w:pPr>
        <w:spacing w:before="0" w:after="160" w:line="264" w:lineRule="auto"/>
        <w:ind w:left="0" w:firstLine="0"/>
        <w:jc w:val="left"/>
      </w:pPr>
      <w:r>
        <w:rPr>
          <w:rFonts w:ascii="Calibri" w:hAnsi="Calibri"/>
          <w:b w:val="0"/>
          <w:i/>
          <w:color w:val="000000"/>
          <w:sz w:val="22"/>
        </w:rPr>
        <w:t>Portfolio disclaimer: Trainory is a fictional organization. This policy is an educational portfolio artifact and does not represent legal advice or certification.</w:t>
      </w:r>
    </w:p>
    <w:p>
      <w:pPr>
        <w:pStyle w:val="Heading1"/>
      </w:pPr>
      <w:r>
        <w:t>1. Purpose</w:t>
      </w:r>
    </w:p>
    <w:p>
      <w:pPr>
        <w:spacing w:before="0" w:after="120" w:line="264" w:lineRule="auto"/>
        <w:ind w:left="0" w:firstLine="0"/>
        <w:jc w:val="left"/>
      </w:pPr>
      <w:r>
        <w:rPr>
          <w:rFonts w:ascii="Calibri" w:hAnsi="Calibri"/>
          <w:b w:val="0"/>
          <w:i w:val="0"/>
          <w:color w:val="000000"/>
          <w:sz w:val="22"/>
        </w:rPr>
        <w:t>This policy establishes requirements for granting, using, reviewing, monitoring, and removing access to Trainory systems and information. Its purpose is to reduce unauthorized access, protect sensitive personal and business information, and ensure access is appropriate for each user's responsibilities.</w:t>
      </w:r>
    </w:p>
    <w:p>
      <w:pPr>
        <w:pStyle w:val="Heading1"/>
      </w:pPr>
      <w:r>
        <w:t>2. Scope</w:t>
      </w:r>
    </w:p>
    <w:p>
      <w:pPr>
        <w:spacing w:before="0" w:after="120" w:line="264" w:lineRule="auto"/>
        <w:ind w:left="0" w:firstLine="0"/>
        <w:jc w:val="left"/>
      </w:pPr>
      <w:r>
        <w:rPr>
          <w:rFonts w:ascii="Calibri" w:hAnsi="Calibri"/>
          <w:b w:val="0"/>
          <w:i w:val="0"/>
          <w:color w:val="000000"/>
          <w:sz w:val="22"/>
        </w:rPr>
        <w:t>This policy applies to all Trainory employees, contractors, temporary personnel, service accounts, system integrations, and third parties with access to Trainory information or technology. It covers the customer application, AWS environment, customer database, Microsoft 365, GitHub, employee laptops, support tools, and other in-scope services.</w:t>
      </w:r>
    </w:p>
    <w:p>
      <w:pPr>
        <w:pStyle w:val="Heading1"/>
      </w:pPr>
      <w:r>
        <w:t>3. Policy principles</w:t>
      </w:r>
    </w:p>
    <w:p>
      <w:pPr>
        <w:pStyle w:val="ListBullet"/>
        <w:spacing w:after="100" w:line="264" w:lineRule="auto"/>
        <w:ind w:left="720" w:hanging="360"/>
        <w:jc w:val="left"/>
      </w:pPr>
      <w:r>
        <w:rPr>
          <w:rFonts w:ascii="Calibri" w:hAnsi="Calibri"/>
          <w:b w:val="0"/>
          <w:i w:val="0"/>
          <w:color w:val="000000"/>
          <w:sz w:val="22"/>
        </w:rPr>
        <w:t>Least privilege: users receive only the access necessary to perform approved responsibilities.</w:t>
      </w:r>
    </w:p>
    <w:p>
      <w:pPr>
        <w:pStyle w:val="ListBullet"/>
        <w:spacing w:after="100" w:line="264" w:lineRule="auto"/>
        <w:ind w:left="720" w:hanging="360"/>
        <w:jc w:val="left"/>
      </w:pPr>
      <w:r>
        <w:rPr>
          <w:rFonts w:ascii="Calibri" w:hAnsi="Calibri"/>
          <w:b w:val="0"/>
          <w:i w:val="0"/>
          <w:color w:val="000000"/>
          <w:sz w:val="22"/>
        </w:rPr>
        <w:t>Need to know: sensitive information is accessible only when required for legitimate business purposes.</w:t>
      </w:r>
    </w:p>
    <w:p>
      <w:pPr>
        <w:pStyle w:val="ListBullet"/>
        <w:spacing w:after="100" w:line="264" w:lineRule="auto"/>
        <w:ind w:left="720" w:hanging="360"/>
        <w:jc w:val="left"/>
      </w:pPr>
      <w:r>
        <w:rPr>
          <w:rFonts w:ascii="Calibri" w:hAnsi="Calibri"/>
          <w:b w:val="0"/>
          <w:i w:val="0"/>
          <w:color w:val="000000"/>
          <w:sz w:val="22"/>
        </w:rPr>
        <w:t>Separation of duties: conflicting or high-risk activities require appropriate division, approval, or review.</w:t>
      </w:r>
    </w:p>
    <w:p>
      <w:pPr>
        <w:pStyle w:val="ListBullet"/>
        <w:spacing w:after="100" w:line="264" w:lineRule="auto"/>
        <w:ind w:left="720" w:hanging="360"/>
        <w:jc w:val="left"/>
      </w:pPr>
      <w:r>
        <w:rPr>
          <w:rFonts w:ascii="Calibri" w:hAnsi="Calibri"/>
          <w:b w:val="0"/>
          <w:i w:val="0"/>
          <w:color w:val="000000"/>
          <w:sz w:val="22"/>
        </w:rPr>
        <w:t>Individual accountability: access must be attributable to a specific person or approved service.</w:t>
      </w:r>
    </w:p>
    <w:p>
      <w:pPr>
        <w:pStyle w:val="ListBullet"/>
        <w:spacing w:after="100" w:line="264" w:lineRule="auto"/>
        <w:ind w:left="720" w:hanging="360"/>
        <w:jc w:val="left"/>
      </w:pPr>
      <w:r>
        <w:rPr>
          <w:rFonts w:ascii="Calibri" w:hAnsi="Calibri"/>
          <w:b w:val="0"/>
          <w:i w:val="0"/>
          <w:color w:val="000000"/>
          <w:sz w:val="22"/>
        </w:rPr>
        <w:t>Timely lifecycle management: access is granted, modified, reviewed, and removed promptly.</w:t>
      </w:r>
    </w:p>
    <w:p>
      <w:pPr>
        <w:pStyle w:val="Heading1"/>
      </w:pPr>
      <w:r>
        <w:t>4. Roles and responsibilities</w:t>
      </w:r>
    </w:p>
    <w:p>
      <w:pPr>
        <w:spacing w:before="0" w:after="120" w:line="264" w:lineRule="auto"/>
        <w:ind w:left="0" w:firstLine="0"/>
        <w:jc w:val="left"/>
      </w:pPr>
      <w:r>
        <w:rPr>
          <w:rFonts w:ascii="Calibri" w:hAnsi="Calibri"/>
          <w:b w:val="0"/>
          <w:i w:val="0"/>
          <w:color w:val="000000"/>
          <w:sz w:val="22"/>
        </w:rPr>
        <w:t>Executive Leadership approves this policy, sets risk expectations, and resolves material exceptions.</w:t>
      </w:r>
    </w:p>
    <w:p>
      <w:pPr>
        <w:spacing w:before="0" w:after="120" w:line="264" w:lineRule="auto"/>
        <w:ind w:left="0" w:firstLine="0"/>
        <w:jc w:val="left"/>
      </w:pPr>
      <w:r>
        <w:rPr>
          <w:rFonts w:ascii="Calibri" w:hAnsi="Calibri"/>
          <w:b w:val="0"/>
          <w:i w:val="0"/>
          <w:color w:val="000000"/>
          <w:sz w:val="22"/>
        </w:rPr>
        <w:t>Cybersecurity and Compliance defines access-control requirements, reviews high-risk access, monitors compliance, and retains assessment evidence.</w:t>
      </w:r>
    </w:p>
    <w:p>
      <w:pPr>
        <w:spacing w:before="0" w:after="120" w:line="264" w:lineRule="auto"/>
        <w:ind w:left="0" w:firstLine="0"/>
        <w:jc w:val="left"/>
      </w:pPr>
      <w:r>
        <w:rPr>
          <w:rFonts w:ascii="Calibri" w:hAnsi="Calibri"/>
          <w:b w:val="0"/>
          <w:i w:val="0"/>
          <w:color w:val="000000"/>
          <w:sz w:val="22"/>
        </w:rPr>
        <w:t>Information Technology administers workforce accounts, authentication settings, endpoint access, and timely account changes.</w:t>
      </w:r>
    </w:p>
    <w:p>
      <w:pPr>
        <w:spacing w:before="0" w:after="120" w:line="264" w:lineRule="auto"/>
        <w:ind w:left="0" w:firstLine="0"/>
        <w:jc w:val="left"/>
      </w:pPr>
      <w:r>
        <w:rPr>
          <w:rFonts w:ascii="Calibri" w:hAnsi="Calibri"/>
          <w:b w:val="0"/>
          <w:i w:val="0"/>
          <w:color w:val="000000"/>
          <w:sz w:val="22"/>
        </w:rPr>
        <w:t>System Owners approve role definitions and determine the access required for their systems.</w:t>
      </w:r>
    </w:p>
    <w:p>
      <w:pPr>
        <w:spacing w:before="0" w:after="120" w:line="264" w:lineRule="auto"/>
        <w:ind w:left="0" w:firstLine="0"/>
        <w:jc w:val="left"/>
      </w:pPr>
      <w:r>
        <w:rPr>
          <w:rFonts w:ascii="Calibri" w:hAnsi="Calibri"/>
          <w:b w:val="0"/>
          <w:i w:val="0"/>
          <w:color w:val="000000"/>
          <w:sz w:val="22"/>
        </w:rPr>
        <w:t>Managers request and approve access based on job responsibilities and notify Human Resources and IT when duties change.</w:t>
      </w:r>
    </w:p>
    <w:p>
      <w:pPr>
        <w:spacing w:before="0" w:after="120" w:line="264" w:lineRule="auto"/>
        <w:ind w:left="0" w:firstLine="0"/>
        <w:jc w:val="left"/>
      </w:pPr>
      <w:r>
        <w:rPr>
          <w:rFonts w:ascii="Calibri" w:hAnsi="Calibri"/>
          <w:b w:val="0"/>
          <w:i w:val="0"/>
          <w:color w:val="000000"/>
          <w:sz w:val="22"/>
        </w:rPr>
        <w:t>Users protect their credentials, use only assigned accounts, report suspicious activity, and follow this policy.</w:t>
      </w:r>
    </w:p>
    <w:p>
      <w:pPr>
        <w:pStyle w:val="Heading1"/>
      </w:pPr>
      <w:r>
        <w:t>5. Identity and account lifecycle</w:t>
      </w:r>
    </w:p>
    <w:p>
      <w:pPr>
        <w:pStyle w:val="ListBullet"/>
        <w:spacing w:after="100" w:line="264" w:lineRule="auto"/>
        <w:ind w:left="720" w:hanging="360"/>
        <w:jc w:val="left"/>
      </w:pPr>
      <w:r>
        <w:rPr>
          <w:rFonts w:ascii="Calibri" w:hAnsi="Calibri"/>
          <w:b w:val="0"/>
          <w:i w:val="0"/>
          <w:color w:val="000000"/>
          <w:sz w:val="22"/>
        </w:rPr>
        <w:t>Each workforce user must have a unique account. Shared user accounts are prohibited unless formally approved for a documented technical limitation.</w:t>
      </w:r>
    </w:p>
    <w:p>
      <w:pPr>
        <w:pStyle w:val="ListBullet"/>
        <w:spacing w:after="100" w:line="264" w:lineRule="auto"/>
        <w:ind w:left="720" w:hanging="360"/>
        <w:jc w:val="left"/>
      </w:pPr>
      <w:r>
        <w:rPr>
          <w:rFonts w:ascii="Calibri" w:hAnsi="Calibri"/>
          <w:b w:val="0"/>
          <w:i w:val="0"/>
          <w:color w:val="000000"/>
          <w:sz w:val="22"/>
        </w:rPr>
        <w:t>New access must be requested by the user's manager, approved by the system owner, and recorded before provisioning.</w:t>
      </w:r>
    </w:p>
    <w:p>
      <w:pPr>
        <w:pStyle w:val="ListBullet"/>
        <w:spacing w:after="100" w:line="264" w:lineRule="auto"/>
        <w:ind w:left="720" w:hanging="360"/>
        <w:jc w:val="left"/>
      </w:pPr>
      <w:r>
        <w:rPr>
          <w:rFonts w:ascii="Calibri" w:hAnsi="Calibri"/>
          <w:b w:val="0"/>
          <w:i w:val="0"/>
          <w:color w:val="000000"/>
          <w:sz w:val="22"/>
        </w:rPr>
        <w:t>Access must be modified when responsibilities change and must not accumulate without continuing business need.</w:t>
      </w:r>
    </w:p>
    <w:p>
      <w:pPr>
        <w:pStyle w:val="ListBullet"/>
        <w:spacing w:after="100" w:line="264" w:lineRule="auto"/>
        <w:ind w:left="720" w:hanging="360"/>
        <w:jc w:val="left"/>
      </w:pPr>
      <w:r>
        <w:rPr>
          <w:rFonts w:ascii="Calibri" w:hAnsi="Calibri"/>
          <w:b w:val="0"/>
          <w:i w:val="0"/>
          <w:color w:val="000000"/>
          <w:sz w:val="22"/>
        </w:rPr>
        <w:t>Human Resources must notify IT immediately of involuntary separations and no later than the final working day for planned departures.</w:t>
      </w:r>
    </w:p>
    <w:p>
      <w:pPr>
        <w:pStyle w:val="ListBullet"/>
        <w:spacing w:after="100" w:line="264" w:lineRule="auto"/>
        <w:ind w:left="720" w:hanging="360"/>
        <w:jc w:val="left"/>
      </w:pPr>
      <w:r>
        <w:rPr>
          <w:rFonts w:ascii="Calibri" w:hAnsi="Calibri"/>
          <w:b w:val="0"/>
          <w:i w:val="0"/>
          <w:color w:val="000000"/>
          <w:sz w:val="22"/>
        </w:rPr>
        <w:t>Terminated-user access must be disabled promptly, active sessions revoked where supported, and company devices and credentials recovered or invalidated.</w:t>
      </w:r>
    </w:p>
    <w:p>
      <w:pPr>
        <w:pStyle w:val="ListBullet"/>
        <w:spacing w:after="100" w:line="264" w:lineRule="auto"/>
        <w:ind w:left="720" w:hanging="360"/>
        <w:jc w:val="left"/>
      </w:pPr>
      <w:r>
        <w:rPr>
          <w:rFonts w:ascii="Calibri" w:hAnsi="Calibri"/>
          <w:b w:val="0"/>
          <w:i w:val="0"/>
          <w:color w:val="000000"/>
          <w:sz w:val="22"/>
        </w:rPr>
        <w:t>Inactive accounts must be identified regularly and disabled according to documented standards.</w:t>
      </w:r>
    </w:p>
    <w:p>
      <w:pPr>
        <w:pStyle w:val="Heading1"/>
      </w:pPr>
      <w:r>
        <w:t>6. Authentication requirements</w:t>
      </w:r>
    </w:p>
    <w:p>
      <w:pPr>
        <w:pStyle w:val="ListBullet"/>
        <w:spacing w:after="100" w:line="264" w:lineRule="auto"/>
        <w:ind w:left="720" w:hanging="360"/>
        <w:jc w:val="left"/>
      </w:pPr>
      <w:r>
        <w:rPr>
          <w:rFonts w:ascii="Calibri" w:hAnsi="Calibri"/>
          <w:b w:val="0"/>
          <w:i w:val="0"/>
          <w:color w:val="000000"/>
          <w:sz w:val="22"/>
        </w:rPr>
        <w:t>Multifactor authentication (MFA) is required for workforce email, cloud administration, source-code repositories, remote access, and other systems designated as high risk.</w:t>
      </w:r>
    </w:p>
    <w:p>
      <w:pPr>
        <w:pStyle w:val="ListBullet"/>
        <w:spacing w:after="100" w:line="264" w:lineRule="auto"/>
        <w:ind w:left="720" w:hanging="360"/>
        <w:jc w:val="left"/>
      </w:pPr>
      <w:r>
        <w:rPr>
          <w:rFonts w:ascii="Calibri" w:hAnsi="Calibri"/>
          <w:b w:val="0"/>
          <w:i w:val="0"/>
          <w:color w:val="000000"/>
          <w:sz w:val="22"/>
        </w:rPr>
        <w:t>Customers must be offered MFA where technically supported; administrative customer accounts must use MFA.</w:t>
      </w:r>
    </w:p>
    <w:p>
      <w:pPr>
        <w:pStyle w:val="ListBullet"/>
        <w:spacing w:after="100" w:line="264" w:lineRule="auto"/>
        <w:ind w:left="720" w:hanging="360"/>
        <w:jc w:val="left"/>
      </w:pPr>
      <w:r>
        <w:rPr>
          <w:rFonts w:ascii="Calibri" w:hAnsi="Calibri"/>
          <w:b w:val="0"/>
          <w:i w:val="0"/>
          <w:color w:val="000000"/>
          <w:sz w:val="22"/>
        </w:rPr>
        <w:t>Passwords must meet the approved authentication standard and must not be shared, reused for company services, or stored in unapproved locations.</w:t>
      </w:r>
    </w:p>
    <w:p>
      <w:pPr>
        <w:pStyle w:val="ListBullet"/>
        <w:spacing w:after="100" w:line="264" w:lineRule="auto"/>
        <w:ind w:left="720" w:hanging="360"/>
        <w:jc w:val="left"/>
      </w:pPr>
      <w:r>
        <w:rPr>
          <w:rFonts w:ascii="Calibri" w:hAnsi="Calibri"/>
          <w:b w:val="0"/>
          <w:i w:val="0"/>
          <w:color w:val="000000"/>
          <w:sz w:val="22"/>
        </w:rPr>
        <w:t>Default credentials must be changed or disabled before a system enters production.</w:t>
      </w:r>
    </w:p>
    <w:p>
      <w:pPr>
        <w:pStyle w:val="ListBullet"/>
        <w:spacing w:after="100" w:line="264" w:lineRule="auto"/>
        <w:ind w:left="720" w:hanging="360"/>
        <w:jc w:val="left"/>
      </w:pPr>
      <w:r>
        <w:rPr>
          <w:rFonts w:ascii="Calibri" w:hAnsi="Calibri"/>
          <w:b w:val="0"/>
          <w:i w:val="0"/>
          <w:color w:val="000000"/>
          <w:sz w:val="22"/>
        </w:rPr>
        <w:t>Authentication secrets, recovery codes, API keys, and tokens must be protected according to their sensitivity and rotated when compromise is suspected.</w:t>
      </w:r>
    </w:p>
    <w:p>
      <w:r>
        <w:br w:type="page"/>
      </w:r>
    </w:p>
    <w:p>
      <w:pPr>
        <w:pStyle w:val="Heading1"/>
      </w:pPr>
      <w:r>
        <w:t>7. Access provisioning and authorization</w:t>
      </w:r>
    </w:p>
    <w:p>
      <w:pPr>
        <w:pStyle w:val="ListBullet"/>
        <w:spacing w:after="100" w:line="264" w:lineRule="auto"/>
        <w:ind w:left="720" w:hanging="360"/>
        <w:jc w:val="left"/>
      </w:pPr>
      <w:r>
        <w:rPr>
          <w:rFonts w:ascii="Calibri" w:hAnsi="Calibri"/>
          <w:b w:val="0"/>
          <w:i w:val="0"/>
          <w:color w:val="000000"/>
          <w:sz w:val="22"/>
        </w:rPr>
        <w:t>Access must be based on approved roles wherever practical.</w:t>
      </w:r>
    </w:p>
    <w:p>
      <w:pPr>
        <w:pStyle w:val="ListBullet"/>
        <w:spacing w:after="100" w:line="264" w:lineRule="auto"/>
        <w:ind w:left="720" w:hanging="360"/>
        <w:jc w:val="left"/>
      </w:pPr>
      <w:r>
        <w:rPr>
          <w:rFonts w:ascii="Calibri" w:hAnsi="Calibri"/>
          <w:b w:val="0"/>
          <w:i w:val="0"/>
          <w:color w:val="000000"/>
          <w:sz w:val="22"/>
        </w:rPr>
        <w:t>Requests must identify the user, system, role or permission, business justification, approver, and duration when temporary.</w:t>
      </w:r>
    </w:p>
    <w:p>
      <w:pPr>
        <w:pStyle w:val="ListBullet"/>
        <w:spacing w:after="100" w:line="264" w:lineRule="auto"/>
        <w:ind w:left="720" w:hanging="360"/>
        <w:jc w:val="left"/>
      </w:pPr>
      <w:r>
        <w:rPr>
          <w:rFonts w:ascii="Calibri" w:hAnsi="Calibri"/>
          <w:b w:val="0"/>
          <w:i w:val="0"/>
          <w:color w:val="000000"/>
          <w:sz w:val="22"/>
        </w:rPr>
        <w:t>System owners must approve access to Restricted information and production administration capabilities.</w:t>
      </w:r>
    </w:p>
    <w:p>
      <w:pPr>
        <w:pStyle w:val="ListBullet"/>
        <w:spacing w:after="100" w:line="264" w:lineRule="auto"/>
        <w:ind w:left="720" w:hanging="360"/>
        <w:jc w:val="left"/>
      </w:pPr>
      <w:r>
        <w:rPr>
          <w:rFonts w:ascii="Calibri" w:hAnsi="Calibri"/>
          <w:b w:val="0"/>
          <w:i w:val="0"/>
          <w:color w:val="000000"/>
          <w:sz w:val="22"/>
        </w:rPr>
        <w:t>Temporary access must have an expiration date or documented review date.</w:t>
      </w:r>
    </w:p>
    <w:p>
      <w:pPr>
        <w:pStyle w:val="ListBullet"/>
        <w:spacing w:after="100" w:line="264" w:lineRule="auto"/>
        <w:ind w:left="720" w:hanging="360"/>
        <w:jc w:val="left"/>
      </w:pPr>
      <w:r>
        <w:rPr>
          <w:rFonts w:ascii="Calibri" w:hAnsi="Calibri"/>
          <w:b w:val="0"/>
          <w:i w:val="0"/>
          <w:color w:val="000000"/>
          <w:sz w:val="22"/>
        </w:rPr>
        <w:t>Access requests, approvals, changes, and removals must be retained as audit evidence.</w:t>
      </w:r>
    </w:p>
    <w:p>
      <w:pPr>
        <w:pStyle w:val="Heading1"/>
      </w:pPr>
      <w:r>
        <w:t>8. Privileged access</w:t>
      </w:r>
    </w:p>
    <w:p>
      <w:pPr>
        <w:pStyle w:val="ListBullet"/>
        <w:spacing w:after="100" w:line="264" w:lineRule="auto"/>
        <w:ind w:left="720" w:hanging="360"/>
        <w:jc w:val="left"/>
      </w:pPr>
      <w:r>
        <w:rPr>
          <w:rFonts w:ascii="Calibri" w:hAnsi="Calibri"/>
          <w:b w:val="0"/>
          <w:i w:val="0"/>
          <w:color w:val="000000"/>
          <w:sz w:val="22"/>
        </w:rPr>
        <w:t>Administrative privileges must be limited to authorized personnel with a demonstrated business need.</w:t>
      </w:r>
    </w:p>
    <w:p>
      <w:pPr>
        <w:pStyle w:val="ListBullet"/>
        <w:spacing w:after="100" w:line="264" w:lineRule="auto"/>
        <w:ind w:left="720" w:hanging="360"/>
        <w:jc w:val="left"/>
      </w:pPr>
      <w:r>
        <w:rPr>
          <w:rFonts w:ascii="Calibri" w:hAnsi="Calibri"/>
          <w:b w:val="0"/>
          <w:i w:val="0"/>
          <w:color w:val="000000"/>
          <w:sz w:val="22"/>
        </w:rPr>
        <w:t>Administrators must use separate privileged and standard accounts when supported.</w:t>
      </w:r>
    </w:p>
    <w:p>
      <w:pPr>
        <w:pStyle w:val="ListBullet"/>
        <w:spacing w:after="100" w:line="264" w:lineRule="auto"/>
        <w:ind w:left="720" w:hanging="360"/>
        <w:jc w:val="left"/>
      </w:pPr>
      <w:r>
        <w:rPr>
          <w:rFonts w:ascii="Calibri" w:hAnsi="Calibri"/>
          <w:b w:val="0"/>
          <w:i w:val="0"/>
          <w:color w:val="000000"/>
          <w:sz w:val="22"/>
        </w:rPr>
        <w:t>Privileged actions must be logged, monitored, and reviewed based on risk.</w:t>
      </w:r>
    </w:p>
    <w:p>
      <w:pPr>
        <w:pStyle w:val="ListBullet"/>
        <w:spacing w:after="100" w:line="264" w:lineRule="auto"/>
        <w:ind w:left="720" w:hanging="360"/>
        <w:jc w:val="left"/>
      </w:pPr>
      <w:r>
        <w:rPr>
          <w:rFonts w:ascii="Calibri" w:hAnsi="Calibri"/>
          <w:b w:val="0"/>
          <w:i w:val="0"/>
          <w:color w:val="000000"/>
          <w:sz w:val="22"/>
        </w:rPr>
        <w:t>Production changes must follow approved change and deployment procedures; developers must not bypass required review or approval controls.</w:t>
      </w:r>
    </w:p>
    <w:p>
      <w:pPr>
        <w:pStyle w:val="ListBullet"/>
        <w:spacing w:after="100" w:line="264" w:lineRule="auto"/>
        <w:ind w:left="720" w:hanging="360"/>
        <w:jc w:val="left"/>
      </w:pPr>
      <w:r>
        <w:rPr>
          <w:rFonts w:ascii="Calibri" w:hAnsi="Calibri"/>
          <w:b w:val="0"/>
          <w:i w:val="0"/>
          <w:color w:val="000000"/>
          <w:sz w:val="22"/>
        </w:rPr>
        <w:t>Emergency access must be time limited, documented, and reviewed after use.</w:t>
      </w:r>
    </w:p>
    <w:p>
      <w:pPr>
        <w:pStyle w:val="Heading1"/>
      </w:pPr>
      <w:r>
        <w:t>9. Remote and third-party access</w:t>
      </w:r>
    </w:p>
    <w:p>
      <w:pPr>
        <w:pStyle w:val="ListBullet"/>
        <w:spacing w:after="100" w:line="264" w:lineRule="auto"/>
        <w:ind w:left="720" w:hanging="360"/>
        <w:jc w:val="left"/>
      </w:pPr>
      <w:r>
        <w:rPr>
          <w:rFonts w:ascii="Calibri" w:hAnsi="Calibri"/>
          <w:b w:val="0"/>
          <w:i w:val="0"/>
          <w:color w:val="000000"/>
          <w:sz w:val="22"/>
        </w:rPr>
        <w:t>Remote workforce access must use company-approved devices, MFA, and approved secure connections.</w:t>
      </w:r>
    </w:p>
    <w:p>
      <w:pPr>
        <w:pStyle w:val="ListBullet"/>
        <w:spacing w:after="100" w:line="264" w:lineRule="auto"/>
        <w:ind w:left="720" w:hanging="360"/>
        <w:jc w:val="left"/>
      </w:pPr>
      <w:r>
        <w:rPr>
          <w:rFonts w:ascii="Calibri" w:hAnsi="Calibri"/>
          <w:b w:val="0"/>
          <w:i w:val="0"/>
          <w:color w:val="000000"/>
          <w:sz w:val="22"/>
        </w:rPr>
        <w:t>Sensitive information must not be downloaded to unmanaged personal devices or stored in unapproved consumer services.</w:t>
      </w:r>
    </w:p>
    <w:p>
      <w:pPr>
        <w:pStyle w:val="ListBullet"/>
        <w:spacing w:after="100" w:line="264" w:lineRule="auto"/>
        <w:ind w:left="720" w:hanging="360"/>
        <w:jc w:val="left"/>
      </w:pPr>
      <w:r>
        <w:rPr>
          <w:rFonts w:ascii="Calibri" w:hAnsi="Calibri"/>
          <w:b w:val="0"/>
          <w:i w:val="0"/>
          <w:color w:val="000000"/>
          <w:sz w:val="22"/>
        </w:rPr>
        <w:t>Third-party access requires a business sponsor, defined scope, security review, contractual requirements, and an expiration or review date.</w:t>
      </w:r>
    </w:p>
    <w:p>
      <w:pPr>
        <w:pStyle w:val="ListBullet"/>
        <w:spacing w:after="100" w:line="264" w:lineRule="auto"/>
        <w:ind w:left="720" w:hanging="360"/>
        <w:jc w:val="left"/>
      </w:pPr>
      <w:r>
        <w:rPr>
          <w:rFonts w:ascii="Calibri" w:hAnsi="Calibri"/>
          <w:b w:val="0"/>
          <w:i w:val="0"/>
          <w:color w:val="000000"/>
          <w:sz w:val="22"/>
        </w:rPr>
        <w:t>Vendor access must be disabled when the engagement ends or access is no longer required.</w:t>
      </w:r>
    </w:p>
    <w:p>
      <w:pPr>
        <w:pStyle w:val="Heading1"/>
      </w:pPr>
      <w:r>
        <w:t>10. Service accounts and application credentials</w:t>
      </w:r>
    </w:p>
    <w:p>
      <w:pPr>
        <w:pStyle w:val="ListBullet"/>
        <w:spacing w:after="100" w:line="264" w:lineRule="auto"/>
        <w:ind w:left="720" w:hanging="360"/>
        <w:jc w:val="left"/>
      </w:pPr>
      <w:r>
        <w:rPr>
          <w:rFonts w:ascii="Calibri" w:hAnsi="Calibri"/>
          <w:b w:val="0"/>
          <w:i w:val="0"/>
          <w:color w:val="000000"/>
          <w:sz w:val="22"/>
        </w:rPr>
        <w:t>Service accounts, API keys, and integration credentials must have an identified owner and documented purpose.</w:t>
      </w:r>
    </w:p>
    <w:p>
      <w:pPr>
        <w:pStyle w:val="ListBullet"/>
        <w:spacing w:after="100" w:line="264" w:lineRule="auto"/>
        <w:ind w:left="720" w:hanging="360"/>
        <w:jc w:val="left"/>
      </w:pPr>
      <w:r>
        <w:rPr>
          <w:rFonts w:ascii="Calibri" w:hAnsi="Calibri"/>
          <w:b w:val="0"/>
          <w:i w:val="0"/>
          <w:color w:val="000000"/>
          <w:sz w:val="22"/>
        </w:rPr>
        <w:t>Non-human credentials must receive only required permissions and must not be used for interactive human activity unless specifically approved.</w:t>
      </w:r>
    </w:p>
    <w:p>
      <w:pPr>
        <w:pStyle w:val="ListBullet"/>
        <w:spacing w:after="100" w:line="264" w:lineRule="auto"/>
        <w:ind w:left="720" w:hanging="360"/>
        <w:jc w:val="left"/>
      </w:pPr>
      <w:r>
        <w:rPr>
          <w:rFonts w:ascii="Calibri" w:hAnsi="Calibri"/>
          <w:b w:val="0"/>
          <w:i w:val="0"/>
          <w:color w:val="000000"/>
          <w:sz w:val="22"/>
        </w:rPr>
        <w:t>Secrets must be stored in approved secret-management locations and must not be embedded in source code or unprotected configuration files.</w:t>
      </w:r>
    </w:p>
    <w:p>
      <w:pPr>
        <w:pStyle w:val="ListBullet"/>
        <w:spacing w:after="100" w:line="264" w:lineRule="auto"/>
        <w:ind w:left="720" w:hanging="360"/>
        <w:jc w:val="left"/>
      </w:pPr>
      <w:r>
        <w:rPr>
          <w:rFonts w:ascii="Calibri" w:hAnsi="Calibri"/>
          <w:b w:val="0"/>
          <w:i w:val="0"/>
          <w:color w:val="000000"/>
          <w:sz w:val="22"/>
        </w:rPr>
        <w:t>Credentials must be rotated according to risk and immediately after suspected exposure or ownership changes.</w:t>
      </w:r>
    </w:p>
    <w:p>
      <w:r>
        <w:br w:type="page"/>
      </w:r>
    </w:p>
    <w:p>
      <w:pPr>
        <w:pStyle w:val="Heading1"/>
      </w:pPr>
      <w:r>
        <w:t>11. Access reviews</w:t>
      </w:r>
    </w:p>
    <w:p>
      <w:pPr>
        <w:pStyle w:val="ListBullet"/>
        <w:spacing w:after="100" w:line="264" w:lineRule="auto"/>
        <w:ind w:left="720" w:hanging="360"/>
        <w:jc w:val="left"/>
      </w:pPr>
      <w:r>
        <w:rPr>
          <w:rFonts w:ascii="Calibri" w:hAnsi="Calibri"/>
          <w:b w:val="0"/>
          <w:i w:val="0"/>
          <w:color w:val="000000"/>
          <w:sz w:val="22"/>
        </w:rPr>
        <w:t>System owners must review privileged and Restricted-data access at least quarterly.</w:t>
      </w:r>
    </w:p>
    <w:p>
      <w:pPr>
        <w:pStyle w:val="ListBullet"/>
        <w:spacing w:after="100" w:line="264" w:lineRule="auto"/>
        <w:ind w:left="720" w:hanging="360"/>
        <w:jc w:val="left"/>
      </w:pPr>
      <w:r>
        <w:rPr>
          <w:rFonts w:ascii="Calibri" w:hAnsi="Calibri"/>
          <w:b w:val="0"/>
          <w:i w:val="0"/>
          <w:color w:val="000000"/>
          <w:sz w:val="22"/>
        </w:rPr>
        <w:t>Other workforce access must be reviewed at least annually and after significant role or system changes.</w:t>
      </w:r>
    </w:p>
    <w:p>
      <w:pPr>
        <w:pStyle w:val="ListBullet"/>
        <w:spacing w:after="100" w:line="264" w:lineRule="auto"/>
        <w:ind w:left="720" w:hanging="360"/>
        <w:jc w:val="left"/>
      </w:pPr>
      <w:r>
        <w:rPr>
          <w:rFonts w:ascii="Calibri" w:hAnsi="Calibri"/>
          <w:b w:val="0"/>
          <w:i w:val="0"/>
          <w:color w:val="000000"/>
          <w:sz w:val="22"/>
        </w:rPr>
        <w:t>Reviews must confirm continuing business need, appropriate privilege level, active employment or contract status, and correct ownership.</w:t>
      </w:r>
    </w:p>
    <w:p>
      <w:pPr>
        <w:pStyle w:val="ListBullet"/>
        <w:spacing w:after="100" w:line="264" w:lineRule="auto"/>
        <w:ind w:left="720" w:hanging="360"/>
        <w:jc w:val="left"/>
      </w:pPr>
      <w:r>
        <w:rPr>
          <w:rFonts w:ascii="Calibri" w:hAnsi="Calibri"/>
          <w:b w:val="0"/>
          <w:i w:val="0"/>
          <w:color w:val="000000"/>
          <w:sz w:val="22"/>
        </w:rPr>
        <w:t>Unnecessary access must be removed promptly, and review results must be retained as evidence.</w:t>
      </w:r>
    </w:p>
    <w:p>
      <w:pPr>
        <w:pStyle w:val="Heading1"/>
      </w:pPr>
      <w:r>
        <w:t>12. Logging and monitoring</w:t>
      </w:r>
    </w:p>
    <w:p>
      <w:pPr>
        <w:spacing w:before="0" w:after="120" w:line="264" w:lineRule="auto"/>
        <w:ind w:left="0" w:firstLine="0"/>
        <w:jc w:val="left"/>
      </w:pPr>
      <w:r>
        <w:rPr>
          <w:rFonts w:ascii="Calibri" w:hAnsi="Calibri"/>
          <w:b w:val="0"/>
          <w:i w:val="0"/>
          <w:color w:val="000000"/>
          <w:sz w:val="22"/>
        </w:rPr>
        <w:t>Trainory must log authentication events, significant access changes, privileged activity, and other security-relevant events where supported. Cybersecurity and IT must define monitoring responsibilities, investigate suspicious activity, protect logs from unauthorized alteration, and retain logs according to approved requirements.</w:t>
      </w:r>
    </w:p>
    <w:p>
      <w:pPr>
        <w:pStyle w:val="Heading1"/>
      </w:pPr>
      <w:r>
        <w:t>13. Exceptions and enforcement</w:t>
      </w:r>
    </w:p>
    <w:p>
      <w:pPr>
        <w:spacing w:before="0" w:after="120" w:line="264" w:lineRule="auto"/>
        <w:ind w:left="0" w:firstLine="0"/>
        <w:jc w:val="left"/>
      </w:pPr>
      <w:r>
        <w:rPr>
          <w:rFonts w:ascii="Calibri" w:hAnsi="Calibri"/>
          <w:b w:val="0"/>
          <w:i w:val="0"/>
          <w:color w:val="000000"/>
          <w:sz w:val="22"/>
        </w:rPr>
        <w:t>Exceptions require documented business justification, risk assessment, compensating controls, an accountable owner, approval by Cybersecurity and Compliance and the relevant system owner, and an expiration date. Material exceptions require Executive Leadership approval.</w:t>
      </w:r>
    </w:p>
    <w:p>
      <w:pPr>
        <w:spacing w:before="0" w:after="120" w:line="264" w:lineRule="auto"/>
        <w:ind w:left="0" w:firstLine="0"/>
        <w:jc w:val="left"/>
      </w:pPr>
      <w:r>
        <w:rPr>
          <w:rFonts w:ascii="Calibri" w:hAnsi="Calibri"/>
          <w:b w:val="0"/>
          <w:i w:val="0"/>
          <w:color w:val="000000"/>
          <w:sz w:val="22"/>
        </w:rPr>
        <w:t>Violations may result in access removal, corrective action, contract consequences, or other measures consistent with Trainory procedures and applicable requirements.</w:t>
      </w:r>
    </w:p>
    <w:p>
      <w:pPr>
        <w:pStyle w:val="Heading1"/>
      </w:pPr>
      <w:r>
        <w:t>14. Review and evidence retention</w:t>
      </w:r>
    </w:p>
    <w:p>
      <w:pPr>
        <w:spacing w:before="0" w:after="120" w:line="264" w:lineRule="auto"/>
        <w:ind w:left="0" w:firstLine="0"/>
        <w:jc w:val="left"/>
      </w:pPr>
      <w:r>
        <w:rPr>
          <w:rFonts w:ascii="Calibri" w:hAnsi="Calibri"/>
          <w:b w:val="0"/>
          <w:i w:val="0"/>
          <w:color w:val="000000"/>
          <w:sz w:val="22"/>
        </w:rPr>
        <w:t>Cybersecurity and Compliance must review this policy at least annually and after significant incidents, technology changes, business changes, or new obligations. Evidence of approvals, access reviews, exceptions, and remediation must be retained according to Trainory's records-retention requirements.</w:t>
      </w:r>
    </w:p>
    <w:p>
      <w:r>
        <w:br w:type="page"/>
      </w:r>
    </w:p>
    <w:p>
      <w:pPr>
        <w:pStyle w:val="Heading1"/>
      </w:pPr>
      <w:r>
        <w:t>Appendix A - Framework alignment</w:t>
      </w:r>
    </w:p>
    <w:tbl>
      <w:tblPr>
        <w:tblStyle w:val="TableGrid"/>
        <w:tblW w:type="dxa" w:w="9360"/>
        <w:tblLayout w:type="fixed"/>
        <w:tblLook w:firstColumn="1" w:firstRow="1" w:lastColumn="0" w:lastRow="0" w:noHBand="0" w:noVBand="1" w:val="04A0"/>
        <w:tblInd w:w="120" w:type="dxa"/>
      </w:tblPr>
      <w:tblGrid>
        <w:gridCol w:w="2300"/>
        <w:gridCol w:w="2300"/>
        <w:gridCol w:w="4760"/>
      </w:tblGrid>
      <w:tr>
        <w:tc>
          <w:tcPr>
            <w:tcW w:type="dxa" w:w="2300"/>
            <w:shd w:fill="E8EEF5"/>
            <w:tcMar>
              <w:top w:w="80" w:type="dxa"/>
              <w:start w:w="120" w:type="dxa"/>
              <w:bottom w:w="80" w:type="dxa"/>
              <w:end w:w="120" w:type="dxa"/>
            </w:tcMar>
          </w:tcPr>
          <w:p>
            <w:r/>
            <w:r>
              <w:rPr>
                <w:rFonts w:ascii="Calibri" w:hAnsi="Calibri"/>
                <w:b/>
                <w:i w:val="0"/>
                <w:color w:val="16324F"/>
                <w:sz w:val="22"/>
              </w:rPr>
              <w:t>Reference</w:t>
            </w:r>
          </w:p>
        </w:tc>
        <w:tc>
          <w:tcPr>
            <w:tcW w:type="dxa" w:w="2300"/>
            <w:shd w:fill="E8EEF5"/>
            <w:tcMar>
              <w:top w:w="80" w:type="dxa"/>
              <w:start w:w="120" w:type="dxa"/>
              <w:bottom w:w="80" w:type="dxa"/>
              <w:end w:w="120" w:type="dxa"/>
            </w:tcMar>
          </w:tcPr>
          <w:p>
            <w:r/>
            <w:r>
              <w:rPr>
                <w:rFonts w:ascii="Calibri" w:hAnsi="Calibri"/>
                <w:b/>
                <w:i w:val="0"/>
                <w:color w:val="16324F"/>
                <w:sz w:val="22"/>
              </w:rPr>
              <w:t>Topic</w:t>
            </w:r>
          </w:p>
        </w:tc>
        <w:tc>
          <w:tcPr>
            <w:tcW w:type="dxa" w:w="4760"/>
            <w:shd w:fill="E8EEF5"/>
            <w:tcMar>
              <w:top w:w="80" w:type="dxa"/>
              <w:start w:w="120" w:type="dxa"/>
              <w:bottom w:w="80" w:type="dxa"/>
              <w:end w:w="120" w:type="dxa"/>
            </w:tcMar>
          </w:tcPr>
          <w:p>
            <w:r/>
            <w:r>
              <w:rPr>
                <w:rFonts w:ascii="Calibri" w:hAnsi="Calibri"/>
                <w:b/>
                <w:i w:val="0"/>
                <w:color w:val="16324F"/>
                <w:sz w:val="22"/>
              </w:rPr>
              <w:t>How this policy supports it</w:t>
            </w:r>
          </w:p>
        </w:tc>
      </w:tr>
      <w:tr>
        <w:tc>
          <w:tcPr>
            <w:tcW w:type="dxa" w:w="2300"/>
            <w:vAlign w:val="center"/>
            <w:tcMar>
              <w:top w:w="80" w:type="dxa"/>
              <w:start w:w="120" w:type="dxa"/>
              <w:bottom w:w="80" w:type="dxa"/>
              <w:end w:w="120" w:type="dxa"/>
            </w:tcMar>
          </w:tcPr>
          <w:p>
            <w:r/>
            <w:r>
              <w:rPr>
                <w:rFonts w:ascii="Calibri" w:hAnsi="Calibri"/>
                <w:b w:val="0"/>
                <w:i w:val="0"/>
                <w:color w:val="000000"/>
                <w:sz w:val="19"/>
              </w:rPr>
              <w:t>NIST CSF 2.0 PR.AA-01</w:t>
            </w:r>
          </w:p>
        </w:tc>
        <w:tc>
          <w:tcPr>
            <w:tcW w:type="dxa" w:w="2300"/>
            <w:vAlign w:val="center"/>
            <w:tcMar>
              <w:top w:w="80" w:type="dxa"/>
              <w:start w:w="120" w:type="dxa"/>
              <w:bottom w:w="80" w:type="dxa"/>
              <w:end w:w="120" w:type="dxa"/>
            </w:tcMar>
          </w:tcPr>
          <w:p>
            <w:r/>
            <w:r>
              <w:rPr>
                <w:rFonts w:ascii="Calibri" w:hAnsi="Calibri"/>
                <w:b w:val="0"/>
                <w:i w:val="0"/>
                <w:color w:val="000000"/>
                <w:sz w:val="19"/>
              </w:rPr>
              <w:t>Identity and credential management</w:t>
            </w:r>
          </w:p>
        </w:tc>
        <w:tc>
          <w:tcPr>
            <w:tcW w:type="dxa" w:w="4760"/>
            <w:vAlign w:val="center"/>
            <w:tcMar>
              <w:top w:w="80" w:type="dxa"/>
              <w:start w:w="120" w:type="dxa"/>
              <w:bottom w:w="80" w:type="dxa"/>
              <w:end w:w="120" w:type="dxa"/>
            </w:tcMar>
          </w:tcPr>
          <w:p>
            <w:r/>
            <w:r>
              <w:rPr>
                <w:rFonts w:ascii="Calibri" w:hAnsi="Calibri"/>
                <w:b w:val="0"/>
                <w:i w:val="0"/>
                <w:color w:val="000000"/>
                <w:sz w:val="19"/>
              </w:rPr>
              <w:t>Defines ownership and lifecycle requirements for human and non-human identities.</w:t>
            </w:r>
          </w:p>
        </w:tc>
      </w:tr>
      <w:tr>
        <w:tc>
          <w:tcPr>
            <w:tcW w:type="dxa" w:w="2300"/>
            <w:vAlign w:val="center"/>
            <w:tcMar>
              <w:top w:w="80" w:type="dxa"/>
              <w:start w:w="120" w:type="dxa"/>
              <w:bottom w:w="80" w:type="dxa"/>
              <w:end w:w="120" w:type="dxa"/>
            </w:tcMar>
          </w:tcPr>
          <w:p>
            <w:r/>
            <w:r>
              <w:rPr>
                <w:rFonts w:ascii="Calibri" w:hAnsi="Calibri"/>
                <w:b w:val="0"/>
                <w:i w:val="0"/>
                <w:color w:val="000000"/>
                <w:sz w:val="19"/>
              </w:rPr>
              <w:t>NIST CSF 2.0 PR.AA-05</w:t>
            </w:r>
          </w:p>
        </w:tc>
        <w:tc>
          <w:tcPr>
            <w:tcW w:type="dxa" w:w="2300"/>
            <w:vAlign w:val="center"/>
            <w:tcMar>
              <w:top w:w="80" w:type="dxa"/>
              <w:start w:w="120" w:type="dxa"/>
              <w:bottom w:w="80" w:type="dxa"/>
              <w:end w:w="120" w:type="dxa"/>
            </w:tcMar>
          </w:tcPr>
          <w:p>
            <w:r/>
            <w:r>
              <w:rPr>
                <w:rFonts w:ascii="Calibri" w:hAnsi="Calibri"/>
                <w:b w:val="0"/>
                <w:i w:val="0"/>
                <w:color w:val="000000"/>
                <w:sz w:val="19"/>
              </w:rPr>
              <w:t>Permissions and access</w:t>
            </w:r>
          </w:p>
        </w:tc>
        <w:tc>
          <w:tcPr>
            <w:tcW w:type="dxa" w:w="4760"/>
            <w:vAlign w:val="center"/>
            <w:tcMar>
              <w:top w:w="80" w:type="dxa"/>
              <w:start w:w="120" w:type="dxa"/>
              <w:bottom w:w="80" w:type="dxa"/>
              <w:end w:w="120" w:type="dxa"/>
            </w:tcMar>
          </w:tcPr>
          <w:p>
            <w:r/>
            <w:r>
              <w:rPr>
                <w:rFonts w:ascii="Calibri" w:hAnsi="Calibri"/>
                <w:b w:val="0"/>
                <w:i w:val="0"/>
                <w:color w:val="000000"/>
                <w:sz w:val="19"/>
              </w:rPr>
              <w:t>Requires least privilege, separation of duties, approvals, and recurring reviews.</w:t>
            </w:r>
          </w:p>
        </w:tc>
      </w:tr>
      <w:tr>
        <w:tc>
          <w:tcPr>
            <w:tcW w:type="dxa" w:w="2300"/>
            <w:vAlign w:val="center"/>
            <w:tcMar>
              <w:top w:w="80" w:type="dxa"/>
              <w:start w:w="120" w:type="dxa"/>
              <w:bottom w:w="80" w:type="dxa"/>
              <w:end w:w="120" w:type="dxa"/>
            </w:tcMar>
          </w:tcPr>
          <w:p>
            <w:r/>
            <w:r>
              <w:rPr>
                <w:rFonts w:ascii="Calibri" w:hAnsi="Calibri"/>
                <w:b w:val="0"/>
                <w:i w:val="0"/>
                <w:color w:val="000000"/>
                <w:sz w:val="19"/>
              </w:rPr>
              <w:t>NIST SP 800-53 AC-2</w:t>
            </w:r>
          </w:p>
        </w:tc>
        <w:tc>
          <w:tcPr>
            <w:tcW w:type="dxa" w:w="2300"/>
            <w:vAlign w:val="center"/>
            <w:tcMar>
              <w:top w:w="80" w:type="dxa"/>
              <w:start w:w="120" w:type="dxa"/>
              <w:bottom w:w="80" w:type="dxa"/>
              <w:end w:w="120" w:type="dxa"/>
            </w:tcMar>
          </w:tcPr>
          <w:p>
            <w:r/>
            <w:r>
              <w:rPr>
                <w:rFonts w:ascii="Calibri" w:hAnsi="Calibri"/>
                <w:b w:val="0"/>
                <w:i w:val="0"/>
                <w:color w:val="000000"/>
                <w:sz w:val="19"/>
              </w:rPr>
              <w:t>Account management</w:t>
            </w:r>
          </w:p>
        </w:tc>
        <w:tc>
          <w:tcPr>
            <w:tcW w:type="dxa" w:w="4760"/>
            <w:vAlign w:val="center"/>
            <w:tcMar>
              <w:top w:w="80" w:type="dxa"/>
              <w:start w:w="120" w:type="dxa"/>
              <w:bottom w:w="80" w:type="dxa"/>
              <w:end w:w="120" w:type="dxa"/>
            </w:tcMar>
          </w:tcPr>
          <w:p>
            <w:r/>
            <w:r>
              <w:rPr>
                <w:rFonts w:ascii="Calibri" w:hAnsi="Calibri"/>
                <w:b w:val="0"/>
                <w:i w:val="0"/>
                <w:color w:val="000000"/>
                <w:sz w:val="19"/>
              </w:rPr>
              <w:t>Addresses account creation, modification, review, disablement, and removal.</w:t>
            </w:r>
          </w:p>
        </w:tc>
      </w:tr>
      <w:tr>
        <w:tc>
          <w:tcPr>
            <w:tcW w:type="dxa" w:w="2300"/>
            <w:vAlign w:val="center"/>
            <w:tcMar>
              <w:top w:w="80" w:type="dxa"/>
              <w:start w:w="120" w:type="dxa"/>
              <w:bottom w:w="80" w:type="dxa"/>
              <w:end w:w="120" w:type="dxa"/>
            </w:tcMar>
          </w:tcPr>
          <w:p>
            <w:r/>
            <w:r>
              <w:rPr>
                <w:rFonts w:ascii="Calibri" w:hAnsi="Calibri"/>
                <w:b w:val="0"/>
                <w:i w:val="0"/>
                <w:color w:val="000000"/>
                <w:sz w:val="19"/>
              </w:rPr>
              <w:t>NIST SP 800-53 AC-6</w:t>
            </w:r>
          </w:p>
        </w:tc>
        <w:tc>
          <w:tcPr>
            <w:tcW w:type="dxa" w:w="2300"/>
            <w:vAlign w:val="center"/>
            <w:tcMar>
              <w:top w:w="80" w:type="dxa"/>
              <w:start w:w="120" w:type="dxa"/>
              <w:bottom w:w="80" w:type="dxa"/>
              <w:end w:w="120" w:type="dxa"/>
            </w:tcMar>
          </w:tcPr>
          <w:p>
            <w:r/>
            <w:r>
              <w:rPr>
                <w:rFonts w:ascii="Calibri" w:hAnsi="Calibri"/>
                <w:b w:val="0"/>
                <w:i w:val="0"/>
                <w:color w:val="000000"/>
                <w:sz w:val="19"/>
              </w:rPr>
              <w:t>Least privilege</w:t>
            </w:r>
          </w:p>
        </w:tc>
        <w:tc>
          <w:tcPr>
            <w:tcW w:type="dxa" w:w="4760"/>
            <w:vAlign w:val="center"/>
            <w:tcMar>
              <w:top w:w="80" w:type="dxa"/>
              <w:start w:w="120" w:type="dxa"/>
              <w:bottom w:w="80" w:type="dxa"/>
              <w:end w:w="120" w:type="dxa"/>
            </w:tcMar>
          </w:tcPr>
          <w:p>
            <w:r/>
            <w:r>
              <w:rPr>
                <w:rFonts w:ascii="Calibri" w:hAnsi="Calibri"/>
                <w:b w:val="0"/>
                <w:i w:val="0"/>
                <w:color w:val="000000"/>
                <w:sz w:val="19"/>
              </w:rPr>
              <w:t>Limits permissions and privileged access to approved business needs.</w:t>
            </w:r>
          </w:p>
        </w:tc>
      </w:tr>
      <w:tr>
        <w:tc>
          <w:tcPr>
            <w:tcW w:type="dxa" w:w="2300"/>
            <w:vAlign w:val="center"/>
            <w:tcMar>
              <w:top w:w="80" w:type="dxa"/>
              <w:start w:w="120" w:type="dxa"/>
              <w:bottom w:w="80" w:type="dxa"/>
              <w:end w:w="120" w:type="dxa"/>
            </w:tcMar>
          </w:tcPr>
          <w:p>
            <w:r/>
            <w:r>
              <w:rPr>
                <w:rFonts w:ascii="Calibri" w:hAnsi="Calibri"/>
                <w:b w:val="0"/>
                <w:i w:val="0"/>
                <w:color w:val="000000"/>
                <w:sz w:val="19"/>
              </w:rPr>
              <w:t>NIST SP 800-53 IA-2 and IA-5</w:t>
            </w:r>
          </w:p>
        </w:tc>
        <w:tc>
          <w:tcPr>
            <w:tcW w:type="dxa" w:w="2300"/>
            <w:vAlign w:val="center"/>
            <w:tcMar>
              <w:top w:w="80" w:type="dxa"/>
              <w:start w:w="120" w:type="dxa"/>
              <w:bottom w:w="80" w:type="dxa"/>
              <w:end w:w="120" w:type="dxa"/>
            </w:tcMar>
          </w:tcPr>
          <w:p>
            <w:r/>
            <w:r>
              <w:rPr>
                <w:rFonts w:ascii="Calibri" w:hAnsi="Calibri"/>
                <w:b w:val="0"/>
                <w:i w:val="0"/>
                <w:color w:val="000000"/>
                <w:sz w:val="19"/>
              </w:rPr>
              <w:t>Authentication and authenticators</w:t>
            </w:r>
          </w:p>
        </w:tc>
        <w:tc>
          <w:tcPr>
            <w:tcW w:type="dxa" w:w="4760"/>
            <w:vAlign w:val="center"/>
            <w:tcMar>
              <w:top w:w="80" w:type="dxa"/>
              <w:start w:w="120" w:type="dxa"/>
              <w:bottom w:w="80" w:type="dxa"/>
              <w:end w:w="120" w:type="dxa"/>
            </w:tcMar>
          </w:tcPr>
          <w:p>
            <w:r/>
            <w:r>
              <w:rPr>
                <w:rFonts w:ascii="Calibri" w:hAnsi="Calibri"/>
                <w:b w:val="0"/>
                <w:i w:val="0"/>
                <w:color w:val="000000"/>
                <w:sz w:val="19"/>
              </w:rPr>
              <w:t>Establishes MFA, credential protection, and authentication requirements.</w:t>
            </w:r>
          </w:p>
        </w:tc>
      </w:tr>
    </w:tbl>
    <w:p>
      <w:pPr>
        <w:pStyle w:val="Heading1"/>
      </w:pPr>
      <w:r>
        <w:t>References</w:t>
      </w:r>
    </w:p>
    <w:p>
      <w:pPr>
        <w:spacing w:before="0" w:after="120" w:line="264" w:lineRule="auto"/>
        <w:ind w:left="0" w:firstLine="0"/>
        <w:jc w:val="left"/>
      </w:pPr>
      <w:r>
        <w:rPr>
          <w:rFonts w:ascii="Calibri" w:hAnsi="Calibri"/>
          <w:b w:val="0"/>
          <w:i w:val="0"/>
          <w:color w:val="000000"/>
          <w:sz w:val="22"/>
        </w:rPr>
        <w:t>National Institute of Standards and Technology, Cybersecurity Framework 2.0: https://www.nist.gov/cyberframework</w:t>
      </w:r>
    </w:p>
    <w:p>
      <w:pPr>
        <w:spacing w:before="0" w:after="120" w:line="264" w:lineRule="auto"/>
        <w:ind w:left="0" w:firstLine="0"/>
        <w:jc w:val="left"/>
      </w:pPr>
      <w:r>
        <w:rPr>
          <w:rFonts w:ascii="Calibri" w:hAnsi="Calibri"/>
          <w:b w:val="0"/>
          <w:i w:val="0"/>
          <w:color w:val="000000"/>
          <w:sz w:val="22"/>
        </w:rPr>
        <w:t>National Institute of Standards and Technology, SP 800-53 Rev. 5: https://csrc.nist.gov/pubs/sp/800/53/r5/upd1/final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5555"/>
        <w:sz w:val="16"/>
      </w:rPr>
      <w:t>Access Control Policy  |  Fictional portfolio company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555555"/>
        <w:sz w:val="16"/>
      </w:rPr>
      <w:t>TRAINORY  |  INFORMATION SECURITY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Trainory Access Control Policy</dc:title>
  <dc:subject>Fictional cybersecurity GRC portfolio policy</dc:subject>
  <dc:creator>Portfolio Candidate</dc:creator>
  <cp:keywords>GRC, access control, identity, MFA, least privilege, NIST</cp:keywords>
  <dc:description>generated by python-docx</dc:description>
  <cp:lastModifiedBy/>
  <cp:revision>1</cp:revision>
  <dcterms:created xsi:type="dcterms:W3CDTF">2013-12-23T23:15:00Z</dcterms:created>
  <dcterms:modified xsi:type="dcterms:W3CDTF">2013-12-23T23:15:00Z</dcterms:modified>
  <cp:category/>
</cp:coreProperties>
</file>