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Trainory</w:t>
      </w:r>
    </w:p>
    <w:p>
      <w:pPr>
        <w:spacing w:after="80"/>
      </w:pPr>
      <w:r>
        <w:rPr>
          <w:rFonts w:ascii="Arial" w:hAnsi="Arial"/>
          <w:b w:val="0"/>
          <w:color w:val="434343"/>
          <w:sz w:val="28"/>
        </w:rPr>
        <w:t>Company Profile and GRC Assessment Scope</w:t>
      </w:r>
    </w:p>
    <w:p>
      <w:pPr>
        <w:spacing w:after="320"/>
      </w:pPr>
      <w:r>
        <w:rPr>
          <w:rFonts w:ascii="Arial" w:hAnsi="Arial"/>
          <w:b w:val="0"/>
          <w:color w:val="555555"/>
          <w:sz w:val="20"/>
        </w:rPr>
        <w:t>Portfolio project | Draft 0.1 | September 2026</w:t>
      </w:r>
    </w:p>
    <w:p>
      <w:pPr>
        <w:pStyle w:val="Heading1"/>
      </w:pPr>
      <w:r>
        <w:t>Project disclaimer</w:t>
      </w:r>
    </w:p>
    <w:p>
      <w:r>
        <w:rPr>
          <w:rFonts w:ascii="Arial" w:hAnsi="Arial"/>
          <w:b w:val="0"/>
          <w:color w:val="000000"/>
          <w:sz w:val="21"/>
        </w:rPr>
        <w:t>Trainory is a fictional company created solely for cybersecurity governance, risk, and compliance (GRC) portfolio and educational purposes. All organizations, systems, people, vendors, risks, and data described in this project are fictional.</w:t>
      </w:r>
    </w:p>
    <w:p>
      <w:pPr>
        <w:pStyle w:val="Heading1"/>
      </w:pPr>
      <w:r>
        <w:t>Company overview</w:t>
      </w:r>
    </w:p>
    <w:p>
      <w:r>
        <w:rPr>
          <w:rFonts w:ascii="Arial" w:hAnsi="Arial"/>
          <w:b w:val="0"/>
          <w:color w:val="000000"/>
          <w:sz w:val="21"/>
        </w:rPr>
        <w:t>Trainory is a fitness and wellness technology company that provides a cloud-based training platform for individual athletes, personal trainers, boxing gyms, and fitness facilities. The platform offers strength, conditioning, boxing, mobility, recovery, and general wellness programs.</w:t>
      </w:r>
    </w:p>
    <w:p>
      <w:r>
        <w:rPr>
          <w:rFonts w:ascii="Arial" w:hAnsi="Arial"/>
          <w:b w:val="0"/>
          <w:color w:val="000000"/>
          <w:sz w:val="21"/>
        </w:rPr>
        <w:t>Customers can select programs, record workouts, monitor progress, connect supported wearable devices, and share selected performance information with their coaches. Business customers can organize athletes, assign programs, and review training trends.</w:t>
      </w:r>
    </w:p>
    <w:p>
      <w:pPr>
        <w:pStyle w:val="Heading1"/>
      </w:pPr>
      <w:r>
        <w:t>Organizational profile</w:t>
      </w:r>
    </w:p>
    <w:p>
      <w:pPr>
        <w:pStyle w:val="ListBullet"/>
        <w:spacing w:after="40" w:line="259" w:lineRule="auto"/>
      </w:pPr>
      <w:r>
        <w:rPr>
          <w:rFonts w:ascii="Arial" w:hAnsi="Arial"/>
          <w:b w:val="0"/>
          <w:color w:val="000000"/>
          <w:sz w:val="21"/>
        </w:rPr>
        <w:t>Approximately 60 employees</w:t>
      </w:r>
    </w:p>
    <w:p>
      <w:pPr>
        <w:pStyle w:val="ListBullet"/>
        <w:spacing w:after="40" w:line="259" w:lineRule="auto"/>
      </w:pPr>
      <w:r>
        <w:rPr>
          <w:rFonts w:ascii="Arial" w:hAnsi="Arial"/>
          <w:b w:val="0"/>
          <w:color w:val="000000"/>
          <w:sz w:val="21"/>
        </w:rPr>
        <w:t>Primarily remote workforce located throughout the United States</w:t>
      </w:r>
    </w:p>
    <w:p>
      <w:pPr>
        <w:pStyle w:val="ListBullet"/>
        <w:spacing w:after="40" w:line="259" w:lineRule="auto"/>
      </w:pPr>
      <w:r>
        <w:rPr>
          <w:rFonts w:ascii="Arial" w:hAnsi="Arial"/>
          <w:b w:val="0"/>
          <w:color w:val="000000"/>
          <w:sz w:val="21"/>
        </w:rPr>
        <w:t>Customers include individuals, independent coaches, boxing gyms, and fitness facilities</w:t>
      </w:r>
    </w:p>
    <w:p>
      <w:pPr>
        <w:pStyle w:val="ListBullet"/>
        <w:spacing w:after="40" w:line="259" w:lineRule="auto"/>
      </w:pPr>
      <w:r>
        <w:rPr>
          <w:rFonts w:ascii="Arial" w:hAnsi="Arial"/>
          <w:b w:val="0"/>
          <w:color w:val="000000"/>
          <w:sz w:val="21"/>
        </w:rPr>
        <w:t>Primary departments: Executive Leadership, IT, Software Development, Cybersecurity and Compliance, Customer Support, Sales and Marketing, Finance, and Human Resources</w:t>
      </w:r>
    </w:p>
    <w:p>
      <w:pPr>
        <w:pStyle w:val="Heading1"/>
      </w:pPr>
      <w:r>
        <w:t>Information handled</w:t>
      </w:r>
    </w:p>
    <w:p>
      <w:r>
        <w:rPr>
          <w:rFonts w:ascii="Arial" w:hAnsi="Arial"/>
          <w:b w:val="0"/>
          <w:color w:val="000000"/>
          <w:sz w:val="21"/>
        </w:rPr>
        <w:t>Trainory collects and maintains information needed to operate the platform and support customers. This fictional assessment assumes the company handles:</w:t>
      </w:r>
    </w:p>
    <w:p>
      <w:pPr>
        <w:pStyle w:val="ListBullet"/>
        <w:spacing w:after="40" w:line="259" w:lineRule="auto"/>
      </w:pPr>
      <w:r>
        <w:rPr>
          <w:rFonts w:ascii="Arial" w:hAnsi="Arial"/>
          <w:b w:val="0"/>
          <w:color w:val="000000"/>
          <w:sz w:val="21"/>
        </w:rPr>
        <w:t>Customer names, email addresses, phone numbers, and account credentials</w:t>
      </w:r>
    </w:p>
    <w:p>
      <w:pPr>
        <w:pStyle w:val="ListBullet"/>
        <w:spacing w:after="40" w:line="259" w:lineRule="auto"/>
      </w:pPr>
      <w:r>
        <w:rPr>
          <w:rFonts w:ascii="Arial" w:hAnsi="Arial"/>
          <w:b w:val="0"/>
          <w:color w:val="000000"/>
          <w:sz w:val="21"/>
        </w:rPr>
        <w:t>Age, height, weight, workout history, and performance measurements</w:t>
      </w:r>
    </w:p>
    <w:p>
      <w:pPr>
        <w:pStyle w:val="ListBullet"/>
        <w:spacing w:after="40" w:line="259" w:lineRule="auto"/>
      </w:pPr>
      <w:r>
        <w:rPr>
          <w:rFonts w:ascii="Arial" w:hAnsi="Arial"/>
          <w:b w:val="0"/>
          <w:color w:val="000000"/>
          <w:sz w:val="21"/>
        </w:rPr>
        <w:t>Heart-rate and wearable-device data provided by connected services</w:t>
      </w:r>
    </w:p>
    <w:p>
      <w:pPr>
        <w:pStyle w:val="ListBullet"/>
        <w:spacing w:after="40" w:line="259" w:lineRule="auto"/>
      </w:pPr>
      <w:r>
        <w:rPr>
          <w:rFonts w:ascii="Arial" w:hAnsi="Arial"/>
          <w:b w:val="0"/>
          <w:color w:val="000000"/>
          <w:sz w:val="21"/>
        </w:rPr>
        <w:t>Injury limitations and progress photographs voluntarily entered by users</w:t>
      </w:r>
    </w:p>
    <w:p>
      <w:pPr>
        <w:pStyle w:val="ListBullet"/>
        <w:spacing w:after="40" w:line="259" w:lineRule="auto"/>
      </w:pPr>
      <w:r>
        <w:rPr>
          <w:rFonts w:ascii="Arial" w:hAnsi="Arial"/>
          <w:b w:val="0"/>
          <w:color w:val="000000"/>
          <w:sz w:val="21"/>
        </w:rPr>
        <w:t>Trainer, gym, subscription, billing, and customer-support records</w:t>
      </w:r>
    </w:p>
    <w:p>
      <w:pPr>
        <w:pStyle w:val="ListBullet"/>
        <w:spacing w:after="40" w:line="259" w:lineRule="auto"/>
      </w:pPr>
      <w:r>
        <w:rPr>
          <w:rFonts w:ascii="Arial" w:hAnsi="Arial"/>
          <w:b w:val="0"/>
          <w:color w:val="000000"/>
          <w:sz w:val="21"/>
        </w:rPr>
        <w:t>Employee records, internal business documents, and application source code</w:t>
      </w:r>
    </w:p>
    <w:p>
      <w:pPr>
        <w:pStyle w:val="Heading1"/>
      </w:pPr>
      <w:r>
        <w:t>Technology environment</w:t>
      </w:r>
    </w:p>
    <w:p>
      <w:pPr>
        <w:pStyle w:val="ListBullet"/>
        <w:spacing w:after="40" w:line="259" w:lineRule="auto"/>
      </w:pPr>
      <w:r>
        <w:rPr>
          <w:rFonts w:ascii="Arial" w:hAnsi="Arial"/>
          <w:b w:val="0"/>
          <w:color w:val="000000"/>
          <w:sz w:val="21"/>
        </w:rPr>
        <w:t>Customer-facing web application hosted in Amazon Web Services (AWS)</w:t>
      </w:r>
    </w:p>
    <w:p>
      <w:pPr>
        <w:pStyle w:val="ListBullet"/>
        <w:spacing w:after="40" w:line="259" w:lineRule="auto"/>
      </w:pPr>
      <w:r>
        <w:rPr>
          <w:rFonts w:ascii="Arial" w:hAnsi="Arial"/>
          <w:b w:val="0"/>
          <w:color w:val="000000"/>
          <w:sz w:val="21"/>
        </w:rPr>
        <w:t>Python-based backend services and a cloud-hosted customer database</w:t>
      </w:r>
    </w:p>
    <w:p>
      <w:pPr>
        <w:pStyle w:val="ListBullet"/>
        <w:spacing w:after="40" w:line="259" w:lineRule="auto"/>
      </w:pPr>
      <w:r>
        <w:rPr>
          <w:rFonts w:ascii="Arial" w:hAnsi="Arial"/>
          <w:b w:val="0"/>
          <w:color w:val="000000"/>
          <w:sz w:val="21"/>
        </w:rPr>
        <w:t>GitHub for source-code management and software-development collaboration</w:t>
      </w:r>
    </w:p>
    <w:p>
      <w:pPr>
        <w:pStyle w:val="ListBullet"/>
        <w:spacing w:after="40" w:line="259" w:lineRule="auto"/>
      </w:pPr>
      <w:r>
        <w:rPr>
          <w:rFonts w:ascii="Arial" w:hAnsi="Arial"/>
          <w:b w:val="0"/>
          <w:color w:val="000000"/>
          <w:sz w:val="21"/>
        </w:rPr>
        <w:t>Microsoft 365 for email, documents, and employee collaboration</w:t>
      </w:r>
    </w:p>
    <w:p>
      <w:pPr>
        <w:pStyle w:val="ListBullet"/>
        <w:spacing w:after="40" w:line="259" w:lineRule="auto"/>
      </w:pPr>
      <w:r>
        <w:rPr>
          <w:rFonts w:ascii="Arial" w:hAnsi="Arial"/>
          <w:b w:val="0"/>
          <w:color w:val="000000"/>
          <w:sz w:val="21"/>
        </w:rPr>
        <w:t>Company-issued Windows laptops used by remote employees</w:t>
      </w:r>
    </w:p>
    <w:p>
      <w:pPr>
        <w:pStyle w:val="ListBullet"/>
        <w:spacing w:after="40" w:line="259" w:lineRule="auto"/>
      </w:pPr>
      <w:r>
        <w:rPr>
          <w:rFonts w:ascii="Arial" w:hAnsi="Arial"/>
          <w:b w:val="0"/>
          <w:color w:val="000000"/>
          <w:sz w:val="21"/>
        </w:rPr>
        <w:t>Third-party services for payments, wearable integrations, messaging, and customer support</w:t>
      </w:r>
    </w:p>
    <w:p>
      <w:pPr>
        <w:pStyle w:val="Heading1"/>
      </w:pPr>
      <w:r>
        <w:t>Business situation</w:t>
      </w:r>
    </w:p>
    <w:p>
      <w:r>
        <w:rPr>
          <w:rFonts w:ascii="Arial" w:hAnsi="Arial"/>
          <w:b w:val="0"/>
          <w:color w:val="000000"/>
          <w:sz w:val="21"/>
        </w:rPr>
        <w:t>Trainory has grown rapidly and plans to pursue larger fitness facilities, boxing gyms, and corporate wellness programs. Prospective business customers are requesting information about Trainory's cybersecurity controls, privacy practices, vendor-management program, incident-response capabilities, and ability to protect customer information.</w:t>
      </w:r>
    </w:p>
    <w:p>
      <w:r>
        <w:rPr>
          <w:rFonts w:ascii="Arial" w:hAnsi="Arial"/>
          <w:b w:val="0"/>
          <w:color w:val="000000"/>
          <w:sz w:val="21"/>
        </w:rPr>
        <w:t>The company has not previously completed a formal organization-wide cybersecurity risk assessment. Management has authorized an initial GRC assessment to identify significant risks, evaluate selected controls, document gaps, and create a prioritized remediation plan.</w:t>
      </w:r>
    </w:p>
    <w:p>
      <w:pPr>
        <w:pStyle w:val="Heading1"/>
      </w:pPr>
      <w:r>
        <w:t>Assessment objective</w:t>
      </w:r>
    </w:p>
    <w:p>
      <w:pPr>
        <w:pStyle w:val="ListBullet"/>
        <w:spacing w:after="40" w:line="259" w:lineRule="auto"/>
      </w:pPr>
      <w:r>
        <w:rPr>
          <w:rFonts w:ascii="Arial" w:hAnsi="Arial"/>
          <w:b w:val="0"/>
          <w:color w:val="000000"/>
          <w:sz w:val="21"/>
        </w:rPr>
        <w:t>Identify and evaluate cybersecurity and privacy risks</w:t>
      </w:r>
    </w:p>
    <w:p>
      <w:pPr>
        <w:pStyle w:val="ListBullet"/>
        <w:spacing w:after="40" w:line="259" w:lineRule="auto"/>
      </w:pPr>
      <w:r>
        <w:rPr>
          <w:rFonts w:ascii="Arial" w:hAnsi="Arial"/>
          <w:b w:val="0"/>
          <w:color w:val="000000"/>
          <w:sz w:val="21"/>
        </w:rPr>
        <w:t>Assess selected controls using the NIST Cybersecurity Framework and NIST SP 800-53</w:t>
      </w:r>
    </w:p>
    <w:p>
      <w:pPr>
        <w:pStyle w:val="ListBullet"/>
        <w:spacing w:after="40" w:line="259" w:lineRule="auto"/>
      </w:pPr>
      <w:r>
        <w:rPr>
          <w:rFonts w:ascii="Arial" w:hAnsi="Arial"/>
          <w:b w:val="0"/>
          <w:color w:val="000000"/>
          <w:sz w:val="21"/>
        </w:rPr>
        <w:t>Document control gaps and recommended risk treatments</w:t>
      </w:r>
    </w:p>
    <w:p>
      <w:pPr>
        <w:pStyle w:val="ListBullet"/>
        <w:spacing w:after="40" w:line="259" w:lineRule="auto"/>
      </w:pPr>
      <w:r>
        <w:rPr>
          <w:rFonts w:ascii="Arial" w:hAnsi="Arial"/>
          <w:b w:val="0"/>
          <w:color w:val="000000"/>
          <w:sz w:val="21"/>
        </w:rPr>
        <w:t>Develop supporting policies and repeatable evidence-collection processes</w:t>
      </w:r>
    </w:p>
    <w:p>
      <w:pPr>
        <w:pStyle w:val="ListBullet"/>
        <w:spacing w:after="40" w:line="259" w:lineRule="auto"/>
      </w:pPr>
      <w:r>
        <w:rPr>
          <w:rFonts w:ascii="Arial" w:hAnsi="Arial"/>
          <w:b w:val="0"/>
          <w:color w:val="000000"/>
          <w:sz w:val="21"/>
        </w:rPr>
        <w:t>Track remediation activities and communicate risk clearly to management</w:t>
      </w:r>
    </w:p>
    <w:p>
      <w:pPr>
        <w:pStyle w:val="Heading1"/>
      </w:pPr>
      <w:r>
        <w:t>Initial assessment scope</w:t>
      </w:r>
    </w:p>
    <w:p>
      <w:r>
        <w:rPr>
          <w:rFonts w:ascii="Arial" w:hAnsi="Arial"/>
          <w:b/>
          <w:color w:val="000000"/>
          <w:sz w:val="21"/>
        </w:rPr>
        <w:t>Included systems and processes:</w:t>
      </w:r>
    </w:p>
    <w:p>
      <w:pPr>
        <w:pStyle w:val="ListBullet"/>
        <w:spacing w:after="40" w:line="259" w:lineRule="auto"/>
      </w:pPr>
      <w:r>
        <w:rPr>
          <w:rFonts w:ascii="Arial" w:hAnsi="Arial"/>
          <w:b w:val="0"/>
          <w:color w:val="000000"/>
          <w:sz w:val="21"/>
        </w:rPr>
        <w:t>Customer-facing application and customer database</w:t>
      </w:r>
    </w:p>
    <w:p>
      <w:pPr>
        <w:pStyle w:val="ListBullet"/>
        <w:spacing w:after="40" w:line="259" w:lineRule="auto"/>
      </w:pPr>
      <w:r>
        <w:rPr>
          <w:rFonts w:ascii="Arial" w:hAnsi="Arial"/>
          <w:b w:val="0"/>
          <w:color w:val="000000"/>
          <w:sz w:val="21"/>
        </w:rPr>
        <w:t>AWS cloud environment</w:t>
      </w:r>
    </w:p>
    <w:p>
      <w:pPr>
        <w:pStyle w:val="ListBullet"/>
        <w:spacing w:after="40" w:line="259" w:lineRule="auto"/>
      </w:pPr>
      <w:r>
        <w:rPr>
          <w:rFonts w:ascii="Arial" w:hAnsi="Arial"/>
          <w:b w:val="0"/>
          <w:color w:val="000000"/>
          <w:sz w:val="21"/>
        </w:rPr>
        <w:t>Employee identity and access management</w:t>
      </w:r>
    </w:p>
    <w:p>
      <w:pPr>
        <w:pStyle w:val="ListBullet"/>
        <w:spacing w:after="40" w:line="259" w:lineRule="auto"/>
      </w:pPr>
      <w:r>
        <w:rPr>
          <w:rFonts w:ascii="Arial" w:hAnsi="Arial"/>
          <w:b w:val="0"/>
          <w:color w:val="000000"/>
          <w:sz w:val="21"/>
        </w:rPr>
        <w:t>Company-issued laptops and remote-access practices</w:t>
      </w:r>
    </w:p>
    <w:p>
      <w:pPr>
        <w:pStyle w:val="ListBullet"/>
        <w:spacing w:after="40" w:line="259" w:lineRule="auto"/>
      </w:pPr>
      <w:r>
        <w:rPr>
          <w:rFonts w:ascii="Arial" w:hAnsi="Arial"/>
          <w:b w:val="0"/>
          <w:color w:val="000000"/>
          <w:sz w:val="21"/>
        </w:rPr>
        <w:t>Software-development and source-code environment</w:t>
      </w:r>
    </w:p>
    <w:p>
      <w:pPr>
        <w:pStyle w:val="ListBullet"/>
        <w:spacing w:after="40" w:line="259" w:lineRule="auto"/>
      </w:pPr>
      <w:r>
        <w:rPr>
          <w:rFonts w:ascii="Arial" w:hAnsi="Arial"/>
          <w:b w:val="0"/>
          <w:color w:val="000000"/>
          <w:sz w:val="21"/>
        </w:rPr>
        <w:t>Critical third-party vendors and integrations</w:t>
      </w:r>
    </w:p>
    <w:p>
      <w:pPr>
        <w:pStyle w:val="ListBullet"/>
        <w:spacing w:after="40" w:line="259" w:lineRule="auto"/>
      </w:pPr>
      <w:r>
        <w:rPr>
          <w:rFonts w:ascii="Arial" w:hAnsi="Arial"/>
          <w:b w:val="0"/>
          <w:color w:val="000000"/>
          <w:sz w:val="21"/>
        </w:rPr>
        <w:t>Security incident response, backup, and recovery processes</w:t>
      </w:r>
    </w:p>
    <w:p>
      <w:pPr>
        <w:pStyle w:val="Heading2"/>
      </w:pPr>
      <w:r>
        <w:t>Initial exclusions</w:t>
      </w:r>
    </w:p>
    <w:p>
      <w:r>
        <w:rPr>
          <w:rFonts w:ascii="Arial" w:hAnsi="Arial"/>
          <w:b w:val="0"/>
          <w:color w:val="000000"/>
          <w:sz w:val="21"/>
        </w:rPr>
        <w:t>Detailed financial auditing, marketing activities, physical office security, and systems unrelated to the services above are excluded from this initial assessment. These areas may be added during a future assessment if the company's risk profile or customer requirements change.</w:t>
      </w:r>
    </w:p>
    <w:p>
      <w:pPr>
        <w:pStyle w:val="Heading2"/>
      </w:pPr>
      <w:r>
        <w:t>Assessment assumptions</w:t>
      </w:r>
    </w:p>
    <w:p>
      <w:pPr>
        <w:pStyle w:val="ListBullet"/>
        <w:spacing w:after="40" w:line="259" w:lineRule="auto"/>
      </w:pPr>
      <w:r>
        <w:rPr>
          <w:rFonts w:ascii="Arial" w:hAnsi="Arial"/>
          <w:b w:val="0"/>
          <w:color w:val="000000"/>
          <w:sz w:val="21"/>
        </w:rPr>
        <w:t>The assessment uses fictional evidence and reasonable assumptions suitable for an entry-level GRC portfolio.</w:t>
      </w:r>
    </w:p>
    <w:p>
      <w:pPr>
        <w:pStyle w:val="ListBullet"/>
        <w:spacing w:after="40" w:line="259" w:lineRule="auto"/>
      </w:pPr>
      <w:r>
        <w:rPr>
          <w:rFonts w:ascii="Arial" w:hAnsi="Arial"/>
          <w:b w:val="0"/>
          <w:color w:val="000000"/>
          <w:sz w:val="21"/>
        </w:rPr>
        <w:t>The project evaluates readiness and control maturity; it does not certify Trainory as compliant with any law, regulation, or framework.</w:t>
      </w:r>
    </w:p>
    <w:p>
      <w:pPr>
        <w:pStyle w:val="ListBullet"/>
        <w:spacing w:after="40" w:line="259" w:lineRule="auto"/>
      </w:pPr>
      <w:r>
        <w:rPr>
          <w:rFonts w:ascii="Arial" w:hAnsi="Arial"/>
          <w:b w:val="0"/>
          <w:color w:val="000000"/>
          <w:sz w:val="21"/>
        </w:rPr>
        <w:t>Health and wellness information is treated as sensitive personal data, but the project does not assume that Trainory is automatically subject to HIPAA.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Trainory Company Profile and GRC Assessment Scope</dc:title>
  <dc:subject>Cybersecurity GRC portfolio project</dc:subject>
  <dc:creator>Portfolio Candidate</dc:creator>
  <cp:keywords>GRC, cybersecurity, risk assessment, NIST, portfolio</cp:keywords>
  <dc:description>generated by python-docx</dc:description>
  <cp:lastModifiedBy/>
  <cp:revision>1</cp:revision>
  <dcterms:created xsi:type="dcterms:W3CDTF">2013-12-23T23:15:00Z</dcterms:created>
  <dcterms:modified xsi:type="dcterms:W3CDTF">2013-12-23T23:15:00Z</dcterms:modified>
  <cp:category/>
</cp:coreProperties>
</file>