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120"/>
      </w:pPr>
      <w:r>
        <w:rPr>
          <w:rFonts w:ascii="Calibri" w:hAnsi="Calibri"/>
          <w:b/>
          <w:i w:val="0"/>
          <w:color w:val="2F6690"/>
          <w:sz w:val="20"/>
        </w:rPr>
        <w:t>CYBERSECURITY GOVERNANCE, RISK, AND COMPLIANCE</w:t>
      </w:r>
    </w:p>
    <w:p>
      <w:pPr>
        <w:spacing w:after="120"/>
      </w:pPr>
      <w:r>
        <w:rPr>
          <w:rFonts w:ascii="Calibri" w:hAnsi="Calibri"/>
          <w:b/>
          <w:i w:val="0"/>
          <w:color w:val="16324F"/>
          <w:sz w:val="56"/>
        </w:rPr>
        <w:t>Executive GRC</w:t>
        <w:br/>
        <w:t>Assessment Report</w:t>
      </w:r>
    </w:p>
    <w:p>
      <w:pPr>
        <w:pStyle w:val="Subtitle"/>
      </w:pPr>
      <w:r>
        <w:rPr>
          <w:rFonts w:ascii="Calibri" w:hAnsi="Calibri"/>
          <w:b w:val="0"/>
          <w:i w:val="0"/>
          <w:color w:val="667085"/>
          <w:sz w:val="28"/>
        </w:rPr>
        <w:t>Trainory fitness and wellness technology platform</w:t>
      </w:r>
    </w:p>
    <w:p>
      <w:pPr>
        <w:spacing w:after="240"/>
      </w:pPr>
    </w:p>
    <w:p>
      <w:pPr>
        <w:spacing w:after="60"/>
      </w:pPr>
      <w:r>
        <w:rPr>
          <w:rFonts w:ascii="Calibri" w:hAnsi="Calibri"/>
          <w:b/>
          <w:i w:val="0"/>
          <w:color w:val="16324F"/>
          <w:sz w:val="21"/>
        </w:rPr>
        <w:t xml:space="preserve">Prepared for: </w:t>
      </w:r>
      <w:r>
        <w:rPr>
          <w:rFonts w:ascii="Calibri" w:hAnsi="Calibri"/>
          <w:b w:val="0"/>
          <w:i w:val="0"/>
          <w:color w:val="1F2937"/>
          <w:sz w:val="21"/>
        </w:rPr>
        <w:t>Executive leadership and portfolio reviewers</w:t>
      </w:r>
    </w:p>
    <w:p>
      <w:pPr>
        <w:spacing w:after="60"/>
      </w:pPr>
      <w:r>
        <w:rPr>
          <w:rFonts w:ascii="Calibri" w:hAnsi="Calibri"/>
          <w:b/>
          <w:i w:val="0"/>
          <w:color w:val="16324F"/>
          <w:sz w:val="21"/>
        </w:rPr>
        <w:t xml:space="preserve">Prepared by: </w:t>
      </w:r>
      <w:r>
        <w:rPr>
          <w:rFonts w:ascii="Calibri" w:hAnsi="Calibri"/>
          <w:b w:val="0"/>
          <w:i w:val="0"/>
          <w:color w:val="1F2937"/>
          <w:sz w:val="21"/>
        </w:rPr>
        <w:t>Jared Sanchez | GRC Portfolio Project</w:t>
      </w:r>
    </w:p>
    <w:p>
      <w:pPr>
        <w:spacing w:after="60"/>
      </w:pPr>
      <w:r>
        <w:rPr>
          <w:rFonts w:ascii="Calibri" w:hAnsi="Calibri"/>
          <w:b/>
          <w:i w:val="0"/>
          <w:color w:val="16324F"/>
          <w:sz w:val="21"/>
        </w:rPr>
        <w:t xml:space="preserve">Reporting period: </w:t>
      </w:r>
      <w:r>
        <w:rPr>
          <w:rFonts w:ascii="Calibri" w:hAnsi="Calibri"/>
          <w:b w:val="0"/>
          <w:i w:val="0"/>
          <w:color w:val="1F2937"/>
          <w:sz w:val="21"/>
        </w:rPr>
        <w:t>2026 baseline assessment (fictional scenario)</w:t>
      </w:r>
    </w:p>
    <w:p>
      <w:pPr>
        <w:spacing w:after="60"/>
      </w:pPr>
      <w:r>
        <w:rPr>
          <w:rFonts w:ascii="Calibri" w:hAnsi="Calibri"/>
          <w:b/>
          <w:i w:val="0"/>
          <w:color w:val="16324F"/>
          <w:sz w:val="21"/>
        </w:rPr>
        <w:t xml:space="preserve">Framework: </w:t>
      </w:r>
      <w:r>
        <w:rPr>
          <w:rFonts w:ascii="Calibri" w:hAnsi="Calibri"/>
          <w:b w:val="0"/>
          <w:i w:val="0"/>
          <w:color w:val="1F2937"/>
          <w:sz w:val="21"/>
        </w:rPr>
        <w:t>NIST Cybersecurity Framework 2.0</w:t>
      </w:r>
    </w:p>
    <w:p>
      <w:pPr>
        <w:spacing w:after="60"/>
      </w:pPr>
      <w:r>
        <w:rPr>
          <w:rFonts w:ascii="Calibri" w:hAnsi="Calibri"/>
          <w:b/>
          <w:i w:val="0"/>
          <w:color w:val="16324F"/>
          <w:sz w:val="21"/>
        </w:rPr>
        <w:t xml:space="preserve">Classification: </w:t>
      </w:r>
      <w:r>
        <w:rPr>
          <w:rFonts w:ascii="Calibri" w:hAnsi="Calibri"/>
          <w:b w:val="0"/>
          <w:i w:val="0"/>
          <w:color w:val="1F2937"/>
          <w:sz w:val="21"/>
        </w:rPr>
        <w:t>Portfolio Demonstration | Fictional Data</w:t>
      </w:r>
    </w:p>
    <w:p>
      <w:pPr>
        <w:spacing w:after="320"/>
      </w:pPr>
    </w:p>
    <w:tbl>
      <w:tblPr>
        <w:tblW w:type="dxa" w:w="9360"/>
        <w:jc w:val="left"/>
        <w:tblLayout w:type="fixed"/>
        <w:tblLook w:firstColumn="1" w:firstRow="1" w:lastColumn="0" w:lastRow="0" w:noHBand="0" w:noVBand="1" w:val="04A0"/>
        <w:tblInd w:w="120" w:type="dxa"/>
        <w:tblBorders>
          <w:top w:val="single" w:sz="4" w:space="0" w:color="D9E2EA"/>
          <w:left w:val="single" w:sz="18" w:space="0" w:color="2F6690"/>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E8F0F7"/>
            <w:vAlign w:val="center"/>
            <w:tcMar>
              <w:top w:w="80" w:type="dxa"/>
              <w:start w:w="120" w:type="dxa"/>
              <w:bottom w:w="80" w:type="dxa"/>
              <w:end w:w="120" w:type="dxa"/>
            </w:tcMar>
          </w:tcPr>
          <w:p>
            <w:pPr>
              <w:spacing w:before="60" w:after="60"/>
            </w:pPr>
            <w:r>
              <w:rPr>
                <w:rFonts w:ascii="Calibri" w:hAnsi="Calibri"/>
                <w:b/>
                <w:i w:val="0"/>
                <w:color w:val="2F6690"/>
                <w:sz w:val="22"/>
              </w:rPr>
              <w:t xml:space="preserve">Executive recommendation: </w:t>
            </w:r>
            <w:r>
              <w:rPr>
                <w:rFonts w:ascii="Calibri" w:hAnsi="Calibri"/>
                <w:b w:val="0"/>
                <w:i w:val="0"/>
                <w:color w:val="1F2937"/>
                <w:sz w:val="22"/>
              </w:rPr>
              <w:t>Continue controlled operation while aggressively remediating high residual risks. Approve the VitaSync integration only conditionally, remove inappropriate access immediately, and require evidence that critical controls are operating before risk is accepted.</w:t>
            </w:r>
          </w:p>
        </w:tc>
      </w:tr>
    </w:tbl>
    <w:p>
      <w:pPr>
        <w:spacing w:after="0"/>
      </w:pPr>
    </w:p>
    <w:p>
      <w:pPr>
        <w:spacing w:after="480"/>
      </w:pPr>
    </w:p>
    <w:p>
      <w:pPr>
        <w:spacing w:after="0"/>
      </w:pPr>
      <w:r>
        <w:rPr>
          <w:rFonts w:ascii="Calibri" w:hAnsi="Calibri"/>
          <w:b/>
          <w:i w:val="0"/>
          <w:color w:val="667085"/>
          <w:sz w:val="20"/>
        </w:rPr>
        <w:t>Purpose</w:t>
      </w:r>
    </w:p>
    <w:p>
      <w:pPr>
        <w:spacing w:after="0"/>
      </w:pPr>
      <w:r>
        <w:rPr>
          <w:rFonts w:ascii="Calibri" w:hAnsi="Calibri"/>
          <w:b w:val="0"/>
          <w:i w:val="0"/>
          <w:color w:val="1F2937"/>
          <w:sz w:val="21"/>
        </w:rPr>
        <w:t>Translate detailed GRC artifacts into a concise, decision-oriented view of Trainory's cyber risk posture, control maturity, assurance gaps, and remediation priorities.</w:t>
      </w:r>
    </w:p>
    <w:p>
      <w:pPr>
        <w:pStyle w:val="Heading1"/>
        <w:keepNext/>
        <w:pageBreakBefore/>
      </w:pPr>
      <w:r>
        <w:t>1. Executive Summary</w:t>
      </w:r>
    </w:p>
    <w:p>
      <w:r>
        <w:rPr>
          <w:rFonts w:ascii="Calibri" w:hAnsi="Calibri"/>
          <w:b w:val="0"/>
          <w:i w:val="0"/>
          <w:color w:val="1F2937"/>
          <w:sz w:val="22"/>
        </w:rPr>
        <w:t>Trainory's baseline security posture is developing. The assessment found useful foundational practices, but many controls are only partially implemented or lack operating evidence. Existing controls reduce aggregate modeled risk by approximately 28%; however, 11 of 15 identified risks remain High after considering those controls.</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2340"/>
        <w:gridCol w:w="2340"/>
        <w:gridCol w:w="2340"/>
        <w:gridCol w:w="2340"/>
      </w:tblGrid>
      <w:tr>
        <w:tc>
          <w:tcPr>
            <w:tcW w:type="dxa" w:w="2340"/>
            <w:shd w:fill="E8F0F7"/>
            <w:vAlign w:val="center"/>
            <w:tcMar>
              <w:top w:w="80" w:type="dxa"/>
              <w:start w:w="120" w:type="dxa"/>
              <w:bottom w:w="80" w:type="dxa"/>
              <w:end w:w="120" w:type="dxa"/>
            </w:tcMar>
          </w:tcPr>
          <w:p>
            <w:pPr>
              <w:spacing w:after="40"/>
              <w:jc w:val="center"/>
            </w:pPr>
            <w:r>
              <w:rPr>
                <w:rFonts w:ascii="Calibri" w:hAnsi="Calibri"/>
                <w:b/>
                <w:i w:val="0"/>
                <w:color w:val="667085"/>
                <w:sz w:val="16"/>
              </w:rPr>
              <w:t>RESIDUAL EXPOSURE</w:t>
            </w:r>
          </w:p>
          <w:p>
            <w:pPr>
              <w:spacing w:after="40"/>
              <w:jc w:val="center"/>
            </w:pPr>
            <w:r>
              <w:rPr>
                <w:rFonts w:ascii="Calibri" w:hAnsi="Calibri"/>
                <w:b/>
                <w:i w:val="0"/>
                <w:color w:val="16324F"/>
                <w:sz w:val="36"/>
              </w:rPr>
              <w:t>11</w:t>
            </w:r>
          </w:p>
          <w:p>
            <w:pPr>
              <w:spacing w:after="0"/>
              <w:jc w:val="center"/>
            </w:pPr>
            <w:r>
              <w:rPr>
                <w:rFonts w:ascii="Calibri" w:hAnsi="Calibri"/>
                <w:b w:val="0"/>
                <w:i/>
                <w:color w:val="667085"/>
                <w:sz w:val="15"/>
              </w:rPr>
              <w:t>High risks</w:t>
            </w:r>
          </w:p>
        </w:tc>
        <w:tc>
          <w:tcPr>
            <w:tcW w:type="dxa" w:w="2340"/>
            <w:shd w:fill="F2F4F7"/>
            <w:vAlign w:val="center"/>
            <w:tcMar>
              <w:top w:w="80" w:type="dxa"/>
              <w:start w:w="120" w:type="dxa"/>
              <w:bottom w:w="80" w:type="dxa"/>
              <w:end w:w="120" w:type="dxa"/>
            </w:tcMar>
          </w:tcPr>
          <w:p>
            <w:pPr>
              <w:spacing w:after="40"/>
              <w:jc w:val="center"/>
            </w:pPr>
            <w:r>
              <w:rPr>
                <w:rFonts w:ascii="Calibri" w:hAnsi="Calibri"/>
                <w:b/>
                <w:i w:val="0"/>
                <w:color w:val="667085"/>
                <w:sz w:val="16"/>
              </w:rPr>
              <w:t>CSF MATURITY</w:t>
            </w:r>
          </w:p>
          <w:p>
            <w:pPr>
              <w:spacing w:after="40"/>
              <w:jc w:val="center"/>
            </w:pPr>
            <w:r>
              <w:rPr>
                <w:rFonts w:ascii="Calibri" w:hAnsi="Calibri"/>
                <w:b/>
                <w:i w:val="0"/>
                <w:color w:val="16324F"/>
                <w:sz w:val="36"/>
              </w:rPr>
              <w:t>50%</w:t>
            </w:r>
          </w:p>
          <w:p>
            <w:pPr>
              <w:spacing w:after="0"/>
              <w:jc w:val="center"/>
            </w:pPr>
            <w:r>
              <w:rPr>
                <w:rFonts w:ascii="Calibri" w:hAnsi="Calibri"/>
                <w:b w:val="0"/>
                <w:i/>
                <w:color w:val="667085"/>
                <w:sz w:val="15"/>
              </w:rPr>
              <w:t>22 outcomes assessed</w:t>
            </w:r>
          </w:p>
        </w:tc>
        <w:tc>
          <w:tcPr>
            <w:tcW w:type="dxa" w:w="2340"/>
            <w:shd w:fill="E8F0F7"/>
            <w:vAlign w:val="center"/>
            <w:tcMar>
              <w:top w:w="80" w:type="dxa"/>
              <w:start w:w="120" w:type="dxa"/>
              <w:bottom w:w="80" w:type="dxa"/>
              <w:end w:w="120" w:type="dxa"/>
            </w:tcMar>
          </w:tcPr>
          <w:p>
            <w:pPr>
              <w:spacing w:after="40"/>
              <w:jc w:val="center"/>
            </w:pPr>
            <w:r>
              <w:rPr>
                <w:rFonts w:ascii="Calibri" w:hAnsi="Calibri"/>
                <w:b/>
                <w:i w:val="0"/>
                <w:color w:val="667085"/>
                <w:sz w:val="16"/>
              </w:rPr>
              <w:t>ACCESS EXCEPTIONS</w:t>
            </w:r>
          </w:p>
          <w:p>
            <w:pPr>
              <w:spacing w:after="40"/>
              <w:jc w:val="center"/>
            </w:pPr>
            <w:r>
              <w:rPr>
                <w:rFonts w:ascii="Calibri" w:hAnsi="Calibri"/>
                <w:b/>
                <w:i w:val="0"/>
                <w:color w:val="16324F"/>
                <w:sz w:val="36"/>
              </w:rPr>
              <w:t>11</w:t>
            </w:r>
          </w:p>
          <w:p>
            <w:pPr>
              <w:spacing w:after="0"/>
              <w:jc w:val="center"/>
            </w:pPr>
            <w:r>
              <w:rPr>
                <w:rFonts w:ascii="Calibri" w:hAnsi="Calibri"/>
                <w:b w:val="0"/>
                <w:i/>
                <w:color w:val="667085"/>
                <w:sz w:val="15"/>
              </w:rPr>
              <w:t>of 28 records</w:t>
            </w:r>
          </w:p>
        </w:tc>
        <w:tc>
          <w:tcPr>
            <w:tcW w:type="dxa" w:w="2340"/>
            <w:shd w:fill="F2F4F7"/>
            <w:vAlign w:val="center"/>
            <w:tcMar>
              <w:top w:w="80" w:type="dxa"/>
              <w:start w:w="120" w:type="dxa"/>
              <w:bottom w:w="80" w:type="dxa"/>
              <w:end w:w="120" w:type="dxa"/>
            </w:tcMar>
          </w:tcPr>
          <w:p>
            <w:pPr>
              <w:spacing w:after="40"/>
              <w:jc w:val="center"/>
            </w:pPr>
            <w:r>
              <w:rPr>
                <w:rFonts w:ascii="Calibri" w:hAnsi="Calibri"/>
                <w:b/>
                <w:i w:val="0"/>
                <w:color w:val="667085"/>
                <w:sz w:val="16"/>
              </w:rPr>
              <w:t>OPEN FINDINGS</w:t>
            </w:r>
          </w:p>
          <w:p>
            <w:pPr>
              <w:spacing w:after="40"/>
              <w:jc w:val="center"/>
            </w:pPr>
            <w:r>
              <w:rPr>
                <w:rFonts w:ascii="Calibri" w:hAnsi="Calibri"/>
                <w:b/>
                <w:i w:val="0"/>
                <w:color w:val="16324F"/>
                <w:sz w:val="36"/>
              </w:rPr>
              <w:t>14</w:t>
            </w:r>
          </w:p>
          <w:p>
            <w:pPr>
              <w:spacing w:after="0"/>
              <w:jc w:val="center"/>
            </w:pPr>
            <w:r>
              <w:rPr>
                <w:rFonts w:ascii="Calibri" w:hAnsi="Calibri"/>
                <w:b w:val="0"/>
                <w:i/>
                <w:color w:val="667085"/>
                <w:sz w:val="15"/>
              </w:rPr>
              <w:t>access + vendor</w:t>
            </w:r>
          </w:p>
        </w:tc>
      </w:tr>
    </w:tbl>
    <w:p>
      <w:pPr>
        <w:spacing w:after="40"/>
      </w:pPr>
    </w:p>
    <w:p>
      <w:pPr>
        <w:pStyle w:val="Heading2"/>
        <w:keepNext/>
      </w:pPr>
      <w:r>
        <w:t>Leadership decision</w:t>
      </w:r>
    </w:p>
    <w:tbl>
      <w:tblPr>
        <w:tblW w:type="dxa" w:w="9360"/>
        <w:jc w:val="left"/>
        <w:tblLayout w:type="fixed"/>
        <w:tblLook w:firstColumn="1" w:firstRow="1" w:lastColumn="0" w:lastRow="0" w:noHBand="0" w:noVBand="1" w:val="04A0"/>
        <w:tblInd w:w="120" w:type="dxa"/>
        <w:tblBorders>
          <w:top w:val="single" w:sz="4" w:space="0" w:color="D9E2EA"/>
          <w:left w:val="single" w:sz="18" w:space="0" w:color="7A5A00"/>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FEF3C7"/>
            <w:vAlign w:val="center"/>
            <w:tcMar>
              <w:top w:w="80" w:type="dxa"/>
              <w:start w:w="120" w:type="dxa"/>
              <w:bottom w:w="80" w:type="dxa"/>
              <w:end w:w="120" w:type="dxa"/>
            </w:tcMar>
          </w:tcPr>
          <w:p>
            <w:pPr>
              <w:spacing w:before="60" w:after="60"/>
            </w:pPr>
            <w:r>
              <w:rPr>
                <w:rFonts w:ascii="Calibri" w:hAnsi="Calibri"/>
                <w:b/>
                <w:i w:val="0"/>
                <w:color w:val="7A5A00"/>
                <w:sz w:val="22"/>
              </w:rPr>
              <w:t xml:space="preserve">Decision: </w:t>
            </w:r>
            <w:r>
              <w:rPr>
                <w:rFonts w:ascii="Calibri" w:hAnsi="Calibri"/>
                <w:b w:val="0"/>
                <w:i w:val="0"/>
                <w:color w:val="1F2937"/>
                <w:sz w:val="22"/>
              </w:rPr>
              <w:t>Treat the current posture as elevated but manageable. Maintain service with documented guardrails, prioritize the highest-impact corrective actions, and require owners to provide closure evidence rather than reporting completion without validation.</w:t>
            </w:r>
          </w:p>
        </w:tc>
      </w:tr>
    </w:tbl>
    <w:p>
      <w:pPr>
        <w:spacing w:after="0"/>
      </w:pPr>
    </w:p>
    <w:p>
      <w:pPr>
        <w:pStyle w:val="Heading2"/>
        <w:keepNext/>
      </w:pPr>
      <w:r>
        <w:t>Primary conclusions</w:t>
      </w:r>
    </w:p>
    <w:p>
      <w:pPr>
        <w:numPr>
          <w:ilvl w:val="0"/>
          <w:numId w:val="10"/>
        </w:numPr>
      </w:pPr>
      <w:r>
        <w:rPr>
          <w:rFonts w:ascii="Calibri" w:hAnsi="Calibri"/>
          <w:b w:val="0"/>
          <w:i w:val="0"/>
          <w:color w:val="1F2937"/>
          <w:sz w:val="22"/>
        </w:rPr>
        <w:t>Identity and access weaknesses create immediate exposure, including a terminated contractor account, unnecessary production/database access, and an unowned privileged service account.</w:t>
      </w:r>
    </w:p>
    <w:p>
      <w:pPr>
        <w:numPr>
          <w:ilvl w:val="0"/>
          <w:numId w:val="10"/>
        </w:numPr>
      </w:pPr>
      <w:r>
        <w:rPr>
          <w:rFonts w:ascii="Calibri" w:hAnsi="Calibri"/>
          <w:b w:val="0"/>
          <w:i w:val="0"/>
          <w:color w:val="1F2937"/>
          <w:sz w:val="22"/>
        </w:rPr>
        <w:t>Application, cloud, monitoring, and recovery controls require formal baselines, recurring testing, and evidence of consistent operation.</w:t>
      </w:r>
    </w:p>
    <w:p>
      <w:pPr>
        <w:numPr>
          <w:ilvl w:val="0"/>
          <w:numId w:val="10"/>
        </w:numPr>
      </w:pPr>
      <w:r>
        <w:rPr>
          <w:rFonts w:ascii="Calibri" w:hAnsi="Calibri"/>
          <w:b w:val="0"/>
          <w:i w:val="0"/>
          <w:color w:val="1F2937"/>
          <w:sz w:val="22"/>
        </w:rPr>
        <w:t>VitaSync's 70% control score supports conditional, not unconditional, approval because all six formal vendor findings remain material.</w:t>
      </w:r>
    </w:p>
    <w:p>
      <w:pPr>
        <w:numPr>
          <w:ilvl w:val="0"/>
          <w:numId w:val="10"/>
        </w:numPr>
      </w:pPr>
      <w:r>
        <w:rPr>
          <w:rFonts w:ascii="Calibri" w:hAnsi="Calibri"/>
          <w:b w:val="0"/>
          <w:i w:val="0"/>
          <w:color w:val="1F2937"/>
          <w:sz w:val="22"/>
        </w:rPr>
        <w:t>The NIST CSF assessment reflects a baseline maturity score of 50%; policy documents created during this portfolio do not count as fully implemented controls until approved, communicated, tested, and evidenced.</w:t>
      </w:r>
    </w:p>
    <w:p>
      <w:pPr>
        <w:pStyle w:val="Heading2"/>
        <w:keepNext/>
      </w:pPr>
      <w:r>
        <w:t>Immediate management actions</w:t>
      </w:r>
    </w:p>
    <w:p>
      <w:pPr>
        <w:numPr>
          <w:ilvl w:val="0"/>
          <w:numId w:val="11"/>
        </w:numPr>
      </w:pPr>
      <w:r>
        <w:rPr>
          <w:rFonts w:ascii="Calibri" w:hAnsi="Calibri"/>
          <w:b w:val="0"/>
          <w:i w:val="0"/>
          <w:color w:val="1F2937"/>
          <w:sz w:val="22"/>
        </w:rPr>
        <w:t>Disable and investigate the terminated contractor account; preserve the offboarding and activity-review evidence.</w:t>
      </w:r>
    </w:p>
    <w:p>
      <w:pPr>
        <w:numPr>
          <w:ilvl w:val="0"/>
          <w:numId w:val="11"/>
        </w:numPr>
      </w:pPr>
      <w:r>
        <w:rPr>
          <w:rFonts w:ascii="Calibri" w:hAnsi="Calibri"/>
          <w:b w:val="0"/>
          <w:i w:val="0"/>
          <w:color w:val="1F2937"/>
          <w:sz w:val="22"/>
        </w:rPr>
        <w:t>Remove direct production/database access that is not required and replace broad roles with least-privilege alternatives.</w:t>
      </w:r>
    </w:p>
    <w:p>
      <w:pPr>
        <w:numPr>
          <w:ilvl w:val="0"/>
          <w:numId w:val="11"/>
        </w:numPr>
      </w:pPr>
      <w:r>
        <w:rPr>
          <w:rFonts w:ascii="Calibri" w:hAnsi="Calibri"/>
          <w:b w:val="0"/>
          <w:i w:val="0"/>
          <w:color w:val="1F2937"/>
          <w:sz w:val="22"/>
        </w:rPr>
        <w:t>Place VitaSync under conditional approval and establish monthly remediation reporting with owners, due dates, closure evidence, and defined risk-acceptance authority.</w:t>
      </w:r>
    </w:p>
    <w:p>
      <w:pPr>
        <w:pStyle w:val="Heading1"/>
        <w:keepNext/>
        <w:pageBreakBefore/>
      </w:pPr>
      <w:r>
        <w:t>2. Scope and Methodology</w:t>
      </w:r>
    </w:p>
    <w:p>
      <w:r>
        <w:rPr>
          <w:rFonts w:ascii="Calibri" w:hAnsi="Calibri"/>
          <w:b w:val="0"/>
          <w:i w:val="0"/>
          <w:color w:val="1F2937"/>
          <w:sz w:val="22"/>
        </w:rPr>
        <w:t>The assessment examined a fictional cloud-based fitness and wellness platform that stores customer profiles, workout history, performance information, account data, and data imported from wearable devices. The review focused on the systems and processes most likely to affect confidentiality, integrity, availability, privacy, and customer trust.</w:t>
      </w:r>
    </w:p>
    <w:p>
      <w:pPr>
        <w:pStyle w:val="Heading2"/>
        <w:keepNext/>
      </w:pPr>
      <w:r>
        <w:t>Assessment scope</w:t>
      </w:r>
    </w:p>
    <w:p>
      <w:pPr>
        <w:numPr>
          <w:ilvl w:val="0"/>
          <w:numId w:val="10"/>
        </w:numPr>
      </w:pPr>
      <w:r>
        <w:rPr>
          <w:rFonts w:ascii="Calibri" w:hAnsi="Calibri"/>
          <w:b w:val="0"/>
          <w:i w:val="0"/>
          <w:color w:val="1F2937"/>
          <w:sz w:val="22"/>
        </w:rPr>
        <w:t>15 business, technology, data, security, and third-party assets.</w:t>
      </w:r>
    </w:p>
    <w:p>
      <w:pPr>
        <w:numPr>
          <w:ilvl w:val="0"/>
          <w:numId w:val="10"/>
        </w:numPr>
      </w:pPr>
      <w:r>
        <w:rPr>
          <w:rFonts w:ascii="Calibri" w:hAnsi="Calibri"/>
          <w:b w:val="0"/>
          <w:i w:val="0"/>
          <w:color w:val="1F2937"/>
          <w:sz w:val="22"/>
        </w:rPr>
        <w:t>15 cybersecurity and privacy risk scenarios scored using a 5 x 5 likelihood-impact method.</w:t>
      </w:r>
    </w:p>
    <w:p>
      <w:pPr>
        <w:numPr>
          <w:ilvl w:val="0"/>
          <w:numId w:val="10"/>
        </w:numPr>
      </w:pPr>
      <w:r>
        <w:rPr>
          <w:rFonts w:ascii="Calibri" w:hAnsi="Calibri"/>
          <w:b w:val="0"/>
          <w:i w:val="0"/>
          <w:color w:val="1F2937"/>
          <w:sz w:val="22"/>
        </w:rPr>
        <w:t>22 selected NIST CSF 2.0 outcomes across Govern, Identify, Protect, Detect, Respond, and Recover.</w:t>
      </w:r>
    </w:p>
    <w:p>
      <w:pPr>
        <w:numPr>
          <w:ilvl w:val="0"/>
          <w:numId w:val="10"/>
        </w:numPr>
      </w:pPr>
      <w:r>
        <w:rPr>
          <w:rFonts w:ascii="Calibri" w:hAnsi="Calibri"/>
          <w:b w:val="0"/>
          <w:i w:val="0"/>
          <w:color w:val="1F2937"/>
          <w:sz w:val="22"/>
        </w:rPr>
        <w:t>A 25-question security and privacy review of VitaSync, a fictional wearable-data integration vendor.</w:t>
      </w:r>
    </w:p>
    <w:p>
      <w:pPr>
        <w:numPr>
          <w:ilvl w:val="0"/>
          <w:numId w:val="10"/>
        </w:numPr>
      </w:pPr>
      <w:r>
        <w:rPr>
          <w:rFonts w:ascii="Calibri" w:hAnsi="Calibri"/>
          <w:b w:val="0"/>
          <w:i w:val="0"/>
          <w:color w:val="1F2937"/>
          <w:sz w:val="22"/>
        </w:rPr>
        <w:t>A quarterly certification of 28 workforce, contractor, vendor, and service-account access records.</w:t>
      </w:r>
    </w:p>
    <w:p>
      <w:pPr>
        <w:pStyle w:val="Heading2"/>
        <w:keepNext/>
      </w:pPr>
      <w:r>
        <w:t>Method</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650"/>
        <w:gridCol w:w="2050"/>
        <w:gridCol w:w="6660"/>
      </w:tblGrid>
      <w:tr>
        <w:trPr>
          <w:tblHeader w:val="true"/>
          <w:cantSplit/>
        </w:trPr>
        <w:tc>
          <w:tcPr>
            <w:tcW w:type="dxa" w:w="6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Step</w:t>
            </w:r>
          </w:p>
        </w:tc>
        <w:tc>
          <w:tcPr>
            <w:tcW w:type="dxa" w:w="20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Activity</w:t>
            </w:r>
          </w:p>
        </w:tc>
        <w:tc>
          <w:tcPr>
            <w:tcW w:type="dxa" w:w="666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Purpose</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8"/>
              </w:rPr>
              <w:t>1</w:t>
            </w:r>
          </w:p>
        </w:tc>
        <w:tc>
          <w:tcPr>
            <w:tcW w:type="dxa" w:w="20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Establish scope</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Identify critical assets, owners, data sensitivity, dependencies, and business impact.</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8"/>
              </w:rPr>
              <w:t>2</w:t>
            </w:r>
          </w:p>
        </w:tc>
        <w:tc>
          <w:tcPr>
            <w:tcW w:type="dxa" w:w="20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Assess risk</w:t>
            </w:r>
          </w:p>
        </w:tc>
        <w:tc>
          <w:tcPr>
            <w:tcW w:type="dxa" w:w="66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Score inherent likelihood and impact, evaluate existing controls, then record residual risk.</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8"/>
              </w:rPr>
              <w:t>3</w:t>
            </w:r>
          </w:p>
        </w:tc>
        <w:tc>
          <w:tcPr>
            <w:tcW w:type="dxa" w:w="20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Evaluate controls</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Map expected outcomes to NIST CSF 2.0 and review assumed evidence, status, gaps, and ownership.</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8"/>
              </w:rPr>
              <w:t>4</w:t>
            </w:r>
          </w:p>
        </w:tc>
        <w:tc>
          <w:tcPr>
            <w:tcW w:type="dxa" w:w="20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Test assurance</w:t>
            </w:r>
          </w:p>
        </w:tc>
        <w:tc>
          <w:tcPr>
            <w:tcW w:type="dxa" w:w="66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Review vendor responses and user access; convert significant exceptions into formal findings.</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8"/>
              </w:rPr>
              <w:t>5</w:t>
            </w:r>
          </w:p>
        </w:tc>
        <w:tc>
          <w:tcPr>
            <w:tcW w:type="dxa" w:w="20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Prioritize action</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Assign treatment, owner, target date, required evidence, and residual-risk rationale.</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8"/>
              </w:rPr>
              <w:t>6</w:t>
            </w:r>
          </w:p>
        </w:tc>
        <w:tc>
          <w:tcPr>
            <w:tcW w:type="dxa" w:w="20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Report decisions</w:t>
            </w:r>
          </w:p>
        </w:tc>
        <w:tc>
          <w:tcPr>
            <w:tcW w:type="dxa" w:w="66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8"/>
              </w:rPr>
              <w:t>Summarize exposure and recommendations in metrics, dashboards, and this executive report.</w:t>
            </w:r>
          </w:p>
        </w:tc>
      </w:tr>
    </w:tbl>
    <w:p>
      <w:pPr>
        <w:pStyle w:val="Heading2"/>
        <w:keepNext/>
      </w:pPr>
      <w:r>
        <w:t>Scoring model</w:t>
      </w:r>
    </w:p>
    <w:p>
      <w:r>
        <w:rPr>
          <w:rFonts w:ascii="Calibri" w:hAnsi="Calibri"/>
          <w:b w:val="0"/>
          <w:i w:val="0"/>
          <w:color w:val="1F2937"/>
          <w:sz w:val="22"/>
        </w:rPr>
        <w:t>Risk score = Likelihood (1-5) x Impact (1-5). Scores of 1-4 are Low, 5-9 Moderate, 10-16 High, and 17-25 Critical. Residual risk represents the exposure remaining after considering current controls. Ratings support, but do not replace, risk-owner and leadership judgment.</w:t>
      </w:r>
    </w:p>
    <w:tbl>
      <w:tblPr>
        <w:tblW w:type="dxa" w:w="9360"/>
        <w:jc w:val="left"/>
        <w:tblLayout w:type="fixed"/>
        <w:tblLook w:firstColumn="1" w:firstRow="1" w:lastColumn="0" w:lastRow="0" w:noHBand="0" w:noVBand="1" w:val="04A0"/>
        <w:tblInd w:w="120" w:type="dxa"/>
        <w:tblBorders>
          <w:top w:val="single" w:sz="4" w:space="0" w:color="D9E2EA"/>
          <w:left w:val="single" w:sz="18" w:space="0" w:color="667085"/>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F2F4F7"/>
            <w:vAlign w:val="center"/>
            <w:tcMar>
              <w:top w:w="80" w:type="dxa"/>
              <w:start w:w="120" w:type="dxa"/>
              <w:bottom w:w="80" w:type="dxa"/>
              <w:end w:w="120" w:type="dxa"/>
            </w:tcMar>
          </w:tcPr>
          <w:p>
            <w:pPr>
              <w:spacing w:before="60" w:after="60"/>
            </w:pPr>
            <w:r>
              <w:rPr>
                <w:rFonts w:ascii="Calibri" w:hAnsi="Calibri"/>
                <w:b/>
                <w:i w:val="0"/>
                <w:color w:val="667085"/>
                <w:sz w:val="22"/>
              </w:rPr>
              <w:t xml:space="preserve">Assessment limitation: </w:t>
            </w:r>
            <w:r>
              <w:rPr>
                <w:rFonts w:ascii="Calibri" w:hAnsi="Calibri"/>
                <w:b w:val="0"/>
                <w:i w:val="0"/>
                <w:color w:val="1F2937"/>
                <w:sz w:val="22"/>
              </w:rPr>
              <w:t>All content and evidence are fictional. Policy creation shows design intent; implementation must be demonstrated through approval, testing, records, and recurring review.</w:t>
            </w:r>
          </w:p>
        </w:tc>
      </w:tr>
    </w:tbl>
    <w:p>
      <w:pPr>
        <w:spacing w:after="0"/>
      </w:pPr>
    </w:p>
    <w:p>
      <w:pPr>
        <w:pStyle w:val="Heading1"/>
        <w:keepNext/>
        <w:pageBreakBefore/>
      </w:pPr>
      <w:r>
        <w:t>3. Enterprise Risk Posture</w:t>
      </w:r>
    </w:p>
    <w:p>
      <w:r>
        <w:rPr>
          <w:rFonts w:ascii="Calibri" w:hAnsi="Calibri"/>
          <w:b w:val="0"/>
          <w:i w:val="0"/>
          <w:color w:val="1F2937"/>
          <w:sz w:val="22"/>
        </w:rPr>
        <w:t>No risks remained Critical after existing controls were considered, but the portfolio is still concentrated in High residual exposure. This means Trainory has useful safeguards, yet the safeguards are not strong or mature enough to reduce most material scenarios to Moderate or Low.</w:t>
      </w:r>
    </w:p>
    <w:p>
      <w:pPr>
        <w:jc w:val="center"/>
      </w:pPr>
      <w:r>
        <w:drawing>
          <wp:inline xmlns:a="http://schemas.openxmlformats.org/drawingml/2006/main" xmlns:pic="http://schemas.openxmlformats.org/drawingml/2006/picture">
            <wp:extent cx="5760720" cy="1949411"/>
            <wp:docPr id="1" name="Picture 1" title="Trainory GRC posture charts" descr="Residual risks: 11 High and 4 Moderate. NIST CSF baseline maturity: Govern 40%, Identify 71%, Protect 43%, Detect 50%, Respond 0%, Recover 50%."/>
            <wp:cNvGraphicFramePr>
              <a:graphicFrameLocks noChangeAspect="1"/>
            </wp:cNvGraphicFramePr>
            <a:graphic>
              <a:graphicData uri="http://schemas.openxmlformats.org/drawingml/2006/picture">
                <pic:pic>
                  <pic:nvPicPr>
                    <pic:cNvPr id="0" name="grc_posture.png"/>
                    <pic:cNvPicPr/>
                  </pic:nvPicPr>
                  <pic:blipFill>
                    <a:blip r:embed="rId11"/>
                    <a:stretch>
                      <a:fillRect/>
                    </a:stretch>
                  </pic:blipFill>
                  <pic:spPr>
                    <a:xfrm>
                      <a:off x="0" y="0"/>
                      <a:ext cx="5760720" cy="1949411"/>
                    </a:xfrm>
                    <a:prstGeom prst="rect"/>
                  </pic:spPr>
                </pic:pic>
              </a:graphicData>
            </a:graphic>
          </wp:inline>
        </w:drawing>
      </w:r>
    </w:p>
    <w:p>
      <w:pPr>
        <w:spacing w:before="80" w:after="160"/>
        <w:jc w:val="center"/>
      </w:pPr>
      <w:r>
        <w:rPr>
          <w:rFonts w:ascii="Calibri" w:hAnsi="Calibri"/>
          <w:b w:val="0"/>
          <w:i/>
          <w:color w:val="667085"/>
          <w:sz w:val="18"/>
        </w:rPr>
        <w:t>Figure 1. Residual-risk concentration and NIST CSF baseline maturity.</w:t>
      </w:r>
    </w:p>
    <w:p>
      <w:pPr>
        <w:pStyle w:val="Heading2"/>
        <w:keepNext/>
      </w:pPr>
      <w:r>
        <w:t>Highest-priority enterprise risks</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1100"/>
        <w:gridCol w:w="2100"/>
        <w:gridCol w:w="1050"/>
        <w:gridCol w:w="5110"/>
      </w:tblGrid>
      <w:tr>
        <w:trPr>
          <w:tblHeader w:val="true"/>
          <w:cantSplit/>
        </w:trPr>
        <w:tc>
          <w:tcPr>
            <w:tcW w:type="dxa" w:w="11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Risk</w:t>
            </w:r>
          </w:p>
        </w:tc>
        <w:tc>
          <w:tcPr>
            <w:tcW w:type="dxa" w:w="21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Scenario</w:t>
            </w:r>
          </w:p>
        </w:tc>
        <w:tc>
          <w:tcPr>
            <w:tcW w:type="dxa" w:w="10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Residual</w:t>
            </w:r>
          </w:p>
        </w:tc>
        <w:tc>
          <w:tcPr>
            <w:tcW w:type="dxa" w:w="511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Priority treatment</w:t>
            </w:r>
          </w:p>
        </w:tc>
      </w:tr>
      <w:tr>
        <w:trPr>
          <w:cantSplit/>
        </w:trPr>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TRN-R001</w:t>
            </w:r>
          </w:p>
        </w:tc>
        <w:tc>
          <w:tcPr>
            <w:tcW w:type="dxa" w:w="21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Account compromise</w:t>
            </w:r>
          </w:p>
        </w:tc>
        <w:tc>
          <w:tcPr>
            <w:tcW w:type="dxa" w:w="1050"/>
            <w:vAlign w:val="center"/>
            <w:tcMar>
              <w:top w:w="80" w:type="dxa"/>
              <w:start w:w="120" w:type="dxa"/>
              <w:bottom w:w="80" w:type="dxa"/>
              <w:end w:w="120" w:type="dxa"/>
            </w:tcMar>
            <w:shd w:fill="FFEDD5"/>
          </w:tcPr>
          <w:p>
            <w:pPr>
              <w:spacing w:before="0" w:after="0" w:line="252" w:lineRule="auto"/>
              <w:jc w:val="center"/>
            </w:pPr>
            <w:r>
              <w:rPr>
                <w:rFonts w:ascii="Calibri" w:hAnsi="Calibri"/>
                <w:b/>
                <w:i w:val="0"/>
                <w:color w:val="C2410C"/>
                <w:sz w:val="17"/>
              </w:rPr>
              <w:t>15 / High</w:t>
            </w:r>
          </w:p>
        </w:tc>
        <w:tc>
          <w:tcPr>
            <w:tcW w:type="dxa" w:w="51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Customer MFA, credential screening, rate limiting, stronger alerting</w:t>
            </w:r>
          </w:p>
        </w:tc>
      </w:tr>
      <w:tr>
        <w:trPr>
          <w:cantSplit/>
        </w:trPr>
        <w:tc>
          <w:tcPr>
            <w:tcW w:type="dxa" w:w="11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TRN-R006</w:t>
            </w:r>
          </w:p>
        </w:tc>
        <w:tc>
          <w:tcPr>
            <w:tcW w:type="dxa" w:w="21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Unpatched application vulnerability</w:t>
            </w:r>
          </w:p>
        </w:tc>
        <w:tc>
          <w:tcPr>
            <w:tcW w:type="dxa" w:w="1050"/>
            <w:shd w:fill="FFEDD5"/>
            <w:vAlign w:val="center"/>
            <w:tcMar>
              <w:top w:w="80" w:type="dxa"/>
              <w:start w:w="120" w:type="dxa"/>
              <w:bottom w:w="80" w:type="dxa"/>
              <w:end w:w="120" w:type="dxa"/>
            </w:tcMar>
          </w:tcPr>
          <w:p>
            <w:pPr>
              <w:spacing w:before="0" w:after="0" w:line="252" w:lineRule="auto"/>
              <w:jc w:val="center"/>
            </w:pPr>
            <w:r>
              <w:rPr>
                <w:rFonts w:ascii="Calibri" w:hAnsi="Calibri"/>
                <w:b/>
                <w:i w:val="0"/>
                <w:color w:val="C2410C"/>
                <w:sz w:val="17"/>
              </w:rPr>
              <w:t>15 / High</w:t>
            </w:r>
          </w:p>
        </w:tc>
        <w:tc>
          <w:tcPr>
            <w:tcW w:type="dxa" w:w="51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Automated scanning and severity-based remediation deadlines</w:t>
            </w:r>
          </w:p>
        </w:tc>
      </w:tr>
      <w:tr>
        <w:trPr>
          <w:cantSplit/>
        </w:trPr>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TRN-R003</w:t>
            </w:r>
          </w:p>
        </w:tc>
        <w:tc>
          <w:tcPr>
            <w:tcW w:type="dxa" w:w="21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Excessive privileged access</w:t>
            </w:r>
          </w:p>
        </w:tc>
        <w:tc>
          <w:tcPr>
            <w:tcW w:type="dxa" w:w="1050"/>
            <w:vAlign w:val="center"/>
            <w:tcMar>
              <w:top w:w="80" w:type="dxa"/>
              <w:start w:w="120" w:type="dxa"/>
              <w:bottom w:w="80" w:type="dxa"/>
              <w:end w:w="120" w:type="dxa"/>
            </w:tcMar>
            <w:shd w:fill="FFEDD5"/>
          </w:tcPr>
          <w:p>
            <w:pPr>
              <w:spacing w:before="0" w:after="0" w:line="252" w:lineRule="auto"/>
              <w:jc w:val="center"/>
            </w:pPr>
            <w:r>
              <w:rPr>
                <w:rFonts w:ascii="Calibri" w:hAnsi="Calibri"/>
                <w:b/>
                <w:i w:val="0"/>
                <w:color w:val="C2410C"/>
                <w:sz w:val="17"/>
              </w:rPr>
              <w:t>12 / High</w:t>
            </w:r>
          </w:p>
        </w:tc>
        <w:tc>
          <w:tcPr>
            <w:tcW w:type="dxa" w:w="51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Least-privilege roles, approvals, quarterly reviews, monitoring</w:t>
            </w:r>
          </w:p>
        </w:tc>
      </w:tr>
      <w:tr>
        <w:trPr>
          <w:cantSplit/>
        </w:trPr>
        <w:tc>
          <w:tcPr>
            <w:tcW w:type="dxa" w:w="11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TRN-R011</w:t>
            </w:r>
          </w:p>
        </w:tc>
        <w:tc>
          <w:tcPr>
            <w:tcW w:type="dxa" w:w="21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Backup restoration failure</w:t>
            </w:r>
          </w:p>
        </w:tc>
        <w:tc>
          <w:tcPr>
            <w:tcW w:type="dxa" w:w="1050"/>
            <w:shd w:fill="FFEDD5"/>
            <w:vAlign w:val="center"/>
            <w:tcMar>
              <w:top w:w="80" w:type="dxa"/>
              <w:start w:w="120" w:type="dxa"/>
              <w:bottom w:w="80" w:type="dxa"/>
              <w:end w:w="120" w:type="dxa"/>
            </w:tcMar>
          </w:tcPr>
          <w:p>
            <w:pPr>
              <w:spacing w:before="0" w:after="0" w:line="252" w:lineRule="auto"/>
              <w:jc w:val="center"/>
            </w:pPr>
            <w:r>
              <w:rPr>
                <w:rFonts w:ascii="Calibri" w:hAnsi="Calibri"/>
                <w:b/>
                <w:i w:val="0"/>
                <w:color w:val="C2410C"/>
                <w:sz w:val="17"/>
              </w:rPr>
              <w:t>12 / High</w:t>
            </w:r>
          </w:p>
        </w:tc>
        <w:tc>
          <w:tcPr>
            <w:tcW w:type="dxa" w:w="51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Recovery objectives, isolated backups, quarterly restoration tests</w:t>
            </w:r>
          </w:p>
        </w:tc>
      </w:tr>
      <w:tr>
        <w:trPr>
          <w:cantSplit/>
        </w:trPr>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TRN-R012</w:t>
            </w:r>
          </w:p>
        </w:tc>
        <w:tc>
          <w:tcPr>
            <w:tcW w:type="dxa" w:w="21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Insufficient security monitoring</w:t>
            </w:r>
          </w:p>
        </w:tc>
        <w:tc>
          <w:tcPr>
            <w:tcW w:type="dxa" w:w="1050"/>
            <w:vAlign w:val="center"/>
            <w:tcMar>
              <w:top w:w="80" w:type="dxa"/>
              <w:start w:w="120" w:type="dxa"/>
              <w:bottom w:w="80" w:type="dxa"/>
              <w:end w:w="120" w:type="dxa"/>
            </w:tcMar>
            <w:shd w:fill="FFEDD5"/>
          </w:tcPr>
          <w:p>
            <w:pPr>
              <w:spacing w:before="0" w:after="0" w:line="252" w:lineRule="auto"/>
              <w:jc w:val="center"/>
            </w:pPr>
            <w:r>
              <w:rPr>
                <w:rFonts w:ascii="Calibri" w:hAnsi="Calibri"/>
                <w:b/>
                <w:i w:val="0"/>
                <w:color w:val="C2410C"/>
                <w:sz w:val="17"/>
              </w:rPr>
              <w:t>12 / High</w:t>
            </w:r>
          </w:p>
        </w:tc>
        <w:tc>
          <w:tcPr>
            <w:tcW w:type="dxa" w:w="51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Centralized logs, defined alerts, ownership, escalation testing</w:t>
            </w:r>
          </w:p>
        </w:tc>
      </w:tr>
      <w:tr>
        <w:trPr>
          <w:cantSplit/>
        </w:trPr>
        <w:tc>
          <w:tcPr>
            <w:tcW w:type="dxa" w:w="11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TRN-R013</w:t>
            </w:r>
          </w:p>
        </w:tc>
        <w:tc>
          <w:tcPr>
            <w:tcW w:type="dxa" w:w="21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Inadequate privacy and consent</w:t>
            </w:r>
          </w:p>
        </w:tc>
        <w:tc>
          <w:tcPr>
            <w:tcW w:type="dxa" w:w="1050"/>
            <w:shd w:fill="FFEDD5"/>
            <w:vAlign w:val="center"/>
            <w:tcMar>
              <w:top w:w="80" w:type="dxa"/>
              <w:start w:w="120" w:type="dxa"/>
              <w:bottom w:w="80" w:type="dxa"/>
              <w:end w:w="120" w:type="dxa"/>
            </w:tcMar>
          </w:tcPr>
          <w:p>
            <w:pPr>
              <w:spacing w:before="0" w:after="0" w:line="252" w:lineRule="auto"/>
              <w:jc w:val="center"/>
            </w:pPr>
            <w:r>
              <w:rPr>
                <w:rFonts w:ascii="Calibri" w:hAnsi="Calibri"/>
                <w:b/>
                <w:i w:val="0"/>
                <w:color w:val="C2410C"/>
                <w:sz w:val="17"/>
              </w:rPr>
              <w:t>12 / High</w:t>
            </w:r>
          </w:p>
        </w:tc>
        <w:tc>
          <w:tcPr>
            <w:tcW w:type="dxa" w:w="51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Data inventory, consent evidence, retention and deletion workflow</w:t>
            </w:r>
          </w:p>
        </w:tc>
      </w:tr>
    </w:tbl>
    <w:p>
      <w:pPr>
        <w:pStyle w:val="Heading2"/>
        <w:keepNext/>
      </w:pPr>
      <w:r>
        <w:t>Risk treatment position</w:t>
      </w:r>
    </w:p>
    <w:p>
      <w:r>
        <w:rPr>
          <w:rFonts w:ascii="Calibri" w:hAnsi="Calibri"/>
          <w:b w:val="0"/>
          <w:i w:val="0"/>
          <w:color w:val="1F2937"/>
          <w:sz w:val="22"/>
        </w:rPr>
        <w:t>The dominant treatment is mitigation. Transfer applies selectively to third-party services, while monitoring is appropriate only when residual exposure, ownership, escalation thresholds, and contingency measures are clearly documented. High risks should not be silently accepted by operational teams; acceptance authority should be defined and recorded.</w:t>
      </w:r>
    </w:p>
    <w:p>
      <w:pPr>
        <w:pStyle w:val="Heading1"/>
        <w:keepNext/>
        <w:pageBreakBefore/>
      </w:pPr>
      <w:r>
        <w:t>4. Control Maturity and NIST CSF Alignment</w:t>
      </w:r>
    </w:p>
    <w:p>
      <w:r>
        <w:rPr>
          <w:rFonts w:ascii="Calibri" w:hAnsi="Calibri"/>
          <w:b w:val="0"/>
          <w:i w:val="0"/>
          <w:color w:val="1F2937"/>
          <w:sz w:val="22"/>
        </w:rPr>
        <w:t>The baseline assessment reviewed 22 selected NIST CSF 2.0 outcomes. Three were Implemented, 16 were Partial, and three were Not Implemented, producing a weighted maturity score of 50%. Identify is the strongest function because Trainory established asset and risk records; Respond is the weakest because an approved and exercised process was not evidenced at the time of assessment.</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1350"/>
        <w:gridCol w:w="1100"/>
        <w:gridCol w:w="1200"/>
        <w:gridCol w:w="5710"/>
      </w:tblGrid>
      <w:tr>
        <w:trPr>
          <w:tblHeader w:val="true"/>
          <w:cantSplit/>
        </w:trPr>
        <w:tc>
          <w:tcPr>
            <w:tcW w:type="dxa" w:w="13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Function</w:t>
            </w:r>
          </w:p>
        </w:tc>
        <w:tc>
          <w:tcPr>
            <w:tcW w:type="dxa" w:w="11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Outcomes</w:t>
            </w:r>
          </w:p>
        </w:tc>
        <w:tc>
          <w:tcPr>
            <w:tcW w:type="dxa" w:w="12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Maturity</w:t>
            </w:r>
          </w:p>
        </w:tc>
        <w:tc>
          <w:tcPr>
            <w:tcW w:type="dxa" w:w="571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Management focus</w:t>
            </w:r>
          </w:p>
        </w:tc>
      </w:tr>
      <w:tr>
        <w:trPr>
          <w:cantSplit/>
        </w:trPr>
        <w:tc>
          <w:tcPr>
            <w:tcW w:type="dxa" w:w="13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Govern</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5</w:t>
            </w:r>
          </w:p>
        </w:tc>
        <w:tc>
          <w:tcPr>
            <w:tcW w:type="dxa" w:w="1200"/>
            <w:vAlign w:val="center"/>
            <w:tcMar>
              <w:top w:w="80" w:type="dxa"/>
              <w:start w:w="120" w:type="dxa"/>
              <w:bottom w:w="80" w:type="dxa"/>
              <w:end w:w="120" w:type="dxa"/>
            </w:tcMar>
            <w:shd w:fill="FEF3C7"/>
          </w:tcPr>
          <w:p>
            <w:pPr>
              <w:spacing w:before="0" w:after="0" w:line="252" w:lineRule="auto"/>
              <w:jc w:val="center"/>
            </w:pPr>
            <w:r>
              <w:rPr>
                <w:rFonts w:ascii="Calibri" w:hAnsi="Calibri"/>
                <w:b/>
                <w:i w:val="0"/>
                <w:color w:val="7A5A00"/>
                <w:sz w:val="17"/>
              </w:rPr>
              <w:t>40%</w:t>
            </w:r>
          </w:p>
        </w:tc>
        <w:tc>
          <w:tcPr>
            <w:tcW w:type="dxa" w:w="57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Formalize risk appetite, responsibility, policy governance, and vendor requirements.</w:t>
            </w:r>
          </w:p>
        </w:tc>
      </w:tr>
      <w:tr>
        <w:trPr>
          <w:cantSplit/>
        </w:trPr>
        <w:tc>
          <w:tcPr>
            <w:tcW w:type="dxa" w:w="13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Identify</w:t>
            </w:r>
          </w:p>
        </w:tc>
        <w:tc>
          <w:tcPr>
            <w:tcW w:type="dxa" w:w="11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7</w:t>
            </w:r>
          </w:p>
        </w:tc>
        <w:tc>
          <w:tcPr>
            <w:tcW w:type="dxa" w:w="1200"/>
            <w:shd w:fill="DCFCE7"/>
            <w:vAlign w:val="center"/>
            <w:tcMar>
              <w:top w:w="80" w:type="dxa"/>
              <w:start w:w="120" w:type="dxa"/>
              <w:bottom w:w="80" w:type="dxa"/>
              <w:end w:w="120" w:type="dxa"/>
            </w:tcMar>
          </w:tcPr>
          <w:p>
            <w:pPr>
              <w:spacing w:before="0" w:after="0" w:line="252" w:lineRule="auto"/>
              <w:jc w:val="center"/>
            </w:pPr>
            <w:r>
              <w:rPr>
                <w:rFonts w:ascii="Calibri" w:hAnsi="Calibri"/>
                <w:b/>
                <w:i w:val="0"/>
                <w:color w:val="166534"/>
                <w:sz w:val="17"/>
              </w:rPr>
              <w:t>71%</w:t>
            </w:r>
          </w:p>
        </w:tc>
        <w:tc>
          <w:tcPr>
            <w:tcW w:type="dxa" w:w="57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Validate inventories and make threat, vulnerability, and risk reviews recurring.</w:t>
            </w:r>
          </w:p>
        </w:tc>
      </w:tr>
      <w:tr>
        <w:trPr>
          <w:cantSplit/>
        </w:trPr>
        <w:tc>
          <w:tcPr>
            <w:tcW w:type="dxa" w:w="13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Protect</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7</w:t>
            </w:r>
          </w:p>
        </w:tc>
        <w:tc>
          <w:tcPr>
            <w:tcW w:type="dxa" w:w="1200"/>
            <w:vAlign w:val="center"/>
            <w:tcMar>
              <w:top w:w="80" w:type="dxa"/>
              <w:start w:w="120" w:type="dxa"/>
              <w:bottom w:w="80" w:type="dxa"/>
              <w:end w:w="120" w:type="dxa"/>
            </w:tcMar>
            <w:shd w:fill="FEF3C7"/>
          </w:tcPr>
          <w:p>
            <w:pPr>
              <w:spacing w:before="0" w:after="0" w:line="252" w:lineRule="auto"/>
              <w:jc w:val="center"/>
            </w:pPr>
            <w:r>
              <w:rPr>
                <w:rFonts w:ascii="Calibri" w:hAnsi="Calibri"/>
                <w:b/>
                <w:i w:val="0"/>
                <w:color w:val="7A5A00"/>
                <w:sz w:val="17"/>
              </w:rPr>
              <w:t>43%</w:t>
            </w:r>
          </w:p>
        </w:tc>
        <w:tc>
          <w:tcPr>
            <w:tcW w:type="dxa" w:w="57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Strengthen access lifecycle, secure configurations, patching, data protection, and awareness.</w:t>
            </w:r>
          </w:p>
        </w:tc>
      </w:tr>
      <w:tr>
        <w:trPr>
          <w:cantSplit/>
        </w:trPr>
        <w:tc>
          <w:tcPr>
            <w:tcW w:type="dxa" w:w="13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Detect</w:t>
            </w:r>
          </w:p>
        </w:tc>
        <w:tc>
          <w:tcPr>
            <w:tcW w:type="dxa" w:w="11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1</w:t>
            </w:r>
          </w:p>
        </w:tc>
        <w:tc>
          <w:tcPr>
            <w:tcW w:type="dxa" w:w="1200"/>
            <w:shd w:fill="FEF3C7"/>
            <w:vAlign w:val="center"/>
            <w:tcMar>
              <w:top w:w="80" w:type="dxa"/>
              <w:start w:w="120" w:type="dxa"/>
              <w:bottom w:w="80" w:type="dxa"/>
              <w:end w:w="120" w:type="dxa"/>
            </w:tcMar>
          </w:tcPr>
          <w:p>
            <w:pPr>
              <w:spacing w:before="0" w:after="0" w:line="252" w:lineRule="auto"/>
              <w:jc w:val="center"/>
            </w:pPr>
            <w:r>
              <w:rPr>
                <w:rFonts w:ascii="Calibri" w:hAnsi="Calibri"/>
                <w:b/>
                <w:i w:val="0"/>
                <w:color w:val="7A5A00"/>
                <w:sz w:val="17"/>
              </w:rPr>
              <w:t>50%</w:t>
            </w:r>
          </w:p>
        </w:tc>
        <w:tc>
          <w:tcPr>
            <w:tcW w:type="dxa" w:w="57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Expand centralized monitoring and document alert ownership and escalation.</w:t>
            </w:r>
          </w:p>
        </w:tc>
      </w:tr>
      <w:tr>
        <w:trPr>
          <w:cantSplit/>
        </w:trPr>
        <w:tc>
          <w:tcPr>
            <w:tcW w:type="dxa" w:w="13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Respond</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1</w:t>
            </w:r>
          </w:p>
        </w:tc>
        <w:tc>
          <w:tcPr>
            <w:tcW w:type="dxa" w:w="1200"/>
            <w:vAlign w:val="center"/>
            <w:tcMar>
              <w:top w:w="80" w:type="dxa"/>
              <w:start w:w="120" w:type="dxa"/>
              <w:bottom w:w="80" w:type="dxa"/>
              <w:end w:w="120" w:type="dxa"/>
            </w:tcMar>
            <w:shd w:fill="FEE2E2"/>
          </w:tcPr>
          <w:p>
            <w:pPr>
              <w:spacing w:before="0" w:after="0" w:line="252" w:lineRule="auto"/>
              <w:jc w:val="center"/>
            </w:pPr>
            <w:r>
              <w:rPr>
                <w:rFonts w:ascii="Calibri" w:hAnsi="Calibri"/>
                <w:b/>
                <w:i w:val="0"/>
                <w:color w:val="9B1C1C"/>
                <w:sz w:val="17"/>
              </w:rPr>
              <w:t>0%</w:t>
            </w:r>
          </w:p>
        </w:tc>
        <w:tc>
          <w:tcPr>
            <w:tcW w:type="dxa" w:w="57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Approve the incident plan, train roles, and conduct a credential-compromise exercise.</w:t>
            </w:r>
          </w:p>
        </w:tc>
      </w:tr>
      <w:tr>
        <w:trPr>
          <w:cantSplit/>
        </w:trPr>
        <w:tc>
          <w:tcPr>
            <w:tcW w:type="dxa" w:w="13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Recover</w:t>
            </w:r>
          </w:p>
        </w:tc>
        <w:tc>
          <w:tcPr>
            <w:tcW w:type="dxa" w:w="11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1</w:t>
            </w:r>
          </w:p>
        </w:tc>
        <w:tc>
          <w:tcPr>
            <w:tcW w:type="dxa" w:w="1200"/>
            <w:shd w:fill="FEF3C7"/>
            <w:vAlign w:val="center"/>
            <w:tcMar>
              <w:top w:w="80" w:type="dxa"/>
              <w:start w:w="120" w:type="dxa"/>
              <w:bottom w:w="80" w:type="dxa"/>
              <w:end w:w="120" w:type="dxa"/>
            </w:tcMar>
          </w:tcPr>
          <w:p>
            <w:pPr>
              <w:spacing w:before="0" w:after="0" w:line="252" w:lineRule="auto"/>
              <w:jc w:val="center"/>
            </w:pPr>
            <w:r>
              <w:rPr>
                <w:rFonts w:ascii="Calibri" w:hAnsi="Calibri"/>
                <w:b/>
                <w:i w:val="0"/>
                <w:color w:val="7A5A00"/>
                <w:sz w:val="17"/>
              </w:rPr>
              <w:t>50%</w:t>
            </w:r>
          </w:p>
        </w:tc>
        <w:tc>
          <w:tcPr>
            <w:tcW w:type="dxa" w:w="57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Define recovery objectives and test restoration and communications quarterly.</w:t>
            </w:r>
          </w:p>
        </w:tc>
      </w:tr>
    </w:tbl>
    <w:p>
      <w:pPr>
        <w:pStyle w:val="Heading2"/>
        <w:keepNext/>
      </w:pPr>
      <w:r>
        <w:t>Design versus operating effectiveness</w:t>
      </w:r>
    </w:p>
    <w:tbl>
      <w:tblPr>
        <w:tblW w:type="dxa" w:w="9360"/>
        <w:jc w:val="left"/>
        <w:tblLayout w:type="fixed"/>
        <w:tblLook w:firstColumn="1" w:firstRow="1" w:lastColumn="0" w:lastRow="0" w:noHBand="0" w:noVBand="1" w:val="04A0"/>
        <w:tblInd w:w="120" w:type="dxa"/>
        <w:tblBorders>
          <w:top w:val="single" w:sz="4" w:space="0" w:color="D9E2EA"/>
          <w:left w:val="single" w:sz="18" w:space="0" w:color="2F6690"/>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E8F0F7"/>
            <w:vAlign w:val="center"/>
            <w:tcMar>
              <w:top w:w="80" w:type="dxa"/>
              <w:start w:w="120" w:type="dxa"/>
              <w:bottom w:w="80" w:type="dxa"/>
              <w:end w:w="120" w:type="dxa"/>
            </w:tcMar>
          </w:tcPr>
          <w:p>
            <w:pPr>
              <w:spacing w:before="60" w:after="60"/>
            </w:pPr>
            <w:r>
              <w:rPr>
                <w:rFonts w:ascii="Calibri" w:hAnsi="Calibri"/>
                <w:b/>
                <w:i w:val="0"/>
                <w:color w:val="2F6690"/>
                <w:sz w:val="22"/>
              </w:rPr>
              <w:t xml:space="preserve">Important distinction: </w:t>
            </w:r>
            <w:r>
              <w:rPr>
                <w:rFonts w:ascii="Calibri" w:hAnsi="Calibri"/>
                <w:b w:val="0"/>
                <w:i w:val="0"/>
                <w:color w:val="1F2937"/>
                <w:sz w:val="22"/>
              </w:rPr>
              <w:t>The Access Control Policy and Incident Response Plan improve Trainory's documented control design. They should not automatically change a control to Implemented. Operating effectiveness requires approval, communication, assigned ownership, consistent execution, testing, and retained evidence over time.</w:t>
            </w:r>
          </w:p>
        </w:tc>
      </w:tr>
    </w:tbl>
    <w:p>
      <w:pPr>
        <w:spacing w:after="0"/>
      </w:pPr>
    </w:p>
    <w:p>
      <w:pPr>
        <w:pStyle w:val="Heading2"/>
        <w:keepNext/>
      </w:pPr>
      <w:r>
        <w:t>Evidence needed to demonstrate progress</w:t>
      </w:r>
    </w:p>
    <w:p>
      <w:pPr>
        <w:numPr>
          <w:ilvl w:val="0"/>
          <w:numId w:val="10"/>
        </w:numPr>
      </w:pPr>
      <w:r>
        <w:rPr>
          <w:rFonts w:ascii="Calibri" w:hAnsi="Calibri"/>
          <w:b w:val="0"/>
          <w:i w:val="0"/>
          <w:color w:val="1F2937"/>
          <w:sz w:val="22"/>
        </w:rPr>
        <w:t>Policy approvals, employee acknowledgments, role assignments, and exception records.</w:t>
      </w:r>
    </w:p>
    <w:p>
      <w:pPr>
        <w:numPr>
          <w:ilvl w:val="0"/>
          <w:numId w:val="10"/>
        </w:numPr>
      </w:pPr>
      <w:r>
        <w:rPr>
          <w:rFonts w:ascii="Calibri" w:hAnsi="Calibri"/>
          <w:b w:val="0"/>
          <w:i w:val="0"/>
          <w:color w:val="1F2937"/>
          <w:sz w:val="22"/>
        </w:rPr>
        <w:t>Completed quarterly access certifications and verified remediation tickets.</w:t>
      </w:r>
    </w:p>
    <w:p>
      <w:pPr>
        <w:numPr>
          <w:ilvl w:val="0"/>
          <w:numId w:val="10"/>
        </w:numPr>
      </w:pPr>
      <w:r>
        <w:rPr>
          <w:rFonts w:ascii="Calibri" w:hAnsi="Calibri"/>
          <w:b w:val="0"/>
          <w:i w:val="0"/>
          <w:color w:val="1F2937"/>
          <w:sz w:val="22"/>
        </w:rPr>
        <w:t>Vulnerability, patch, configuration, logging, and alert-review reports tied to defined service levels.</w:t>
      </w:r>
    </w:p>
    <w:p>
      <w:pPr>
        <w:numPr>
          <w:ilvl w:val="0"/>
          <w:numId w:val="10"/>
        </w:numPr>
      </w:pPr>
      <w:r>
        <w:rPr>
          <w:rFonts w:ascii="Calibri" w:hAnsi="Calibri"/>
          <w:b w:val="0"/>
          <w:i w:val="0"/>
          <w:color w:val="1F2937"/>
          <w:sz w:val="22"/>
        </w:rPr>
        <w:t>Incident exercise records, lessons learned, backup restoration results, and recovery-objective performance.</w:t>
      </w:r>
    </w:p>
    <w:p>
      <w:pPr>
        <w:numPr>
          <w:ilvl w:val="0"/>
          <w:numId w:val="10"/>
        </w:numPr>
      </w:pPr>
      <w:r>
        <w:rPr>
          <w:rFonts w:ascii="Calibri" w:hAnsi="Calibri"/>
          <w:b w:val="0"/>
          <w:i w:val="0"/>
          <w:color w:val="1F2937"/>
          <w:sz w:val="22"/>
        </w:rPr>
        <w:t>Vendor assurance reports, contract clauses, subprocessor records, and evidence that findings were closed or accepted.</w:t>
      </w:r>
    </w:p>
    <w:p>
      <w:pPr>
        <w:pStyle w:val="Heading1"/>
        <w:keepNext/>
        <w:pageBreakBefore/>
      </w:pPr>
      <w:r>
        <w:t>5. Assurance Results</w:t>
      </w:r>
    </w:p>
    <w:p>
      <w:pPr>
        <w:pStyle w:val="Heading2"/>
        <w:keepNext/>
      </w:pPr>
      <w:r>
        <w:t>Quarterly access review</w:t>
      </w:r>
    </w:p>
    <w:p>
      <w:r>
        <w:rPr>
          <w:rFonts w:ascii="Calibri" w:hAnsi="Calibri"/>
          <w:b w:val="0"/>
          <w:i w:val="0"/>
          <w:color w:val="1F2937"/>
          <w:sz w:val="22"/>
        </w:rPr>
        <w:t>The review examined 28 access records across Microsoft 365, GitHub, AWS, customer data, support, analytics, and payment systems. Seventeen records were retained; three required modification, five removal, and three escalation. Eleven exceptions produced eight formal findings: four Critical and four High.</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1250"/>
        <w:gridCol w:w="3250"/>
        <w:gridCol w:w="4860"/>
      </w:tblGrid>
      <w:tr>
        <w:trPr>
          <w:tblHeader w:val="true"/>
          <w:cantSplit/>
        </w:trPr>
        <w:tc>
          <w:tcPr>
            <w:tcW w:type="dxa" w:w="12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Response</w:t>
            </w:r>
          </w:p>
        </w:tc>
        <w:tc>
          <w:tcPr>
            <w:tcW w:type="dxa" w:w="32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Finding</w:t>
            </w:r>
          </w:p>
        </w:tc>
        <w:tc>
          <w:tcPr>
            <w:tcW w:type="dxa" w:w="486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Required evidence</w:t>
            </w:r>
          </w:p>
        </w:tc>
      </w:tr>
      <w:tr>
        <w:trPr>
          <w:cantSplit/>
        </w:trPr>
        <w:tc>
          <w:tcPr>
            <w:tcW w:type="dxa" w:w="12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Terminate</w:t>
            </w:r>
          </w:p>
        </w:tc>
        <w:tc>
          <w:tcPr>
            <w:tcW w:type="dxa" w:w="32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Former contractor retained AWS access</w:t>
            </w:r>
          </w:p>
        </w:tc>
        <w:tc>
          <w:tcPr>
            <w:tcW w:type="dxa" w:w="4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Disable, revoke sessions, review activity, preserve evidence</w:t>
            </w:r>
          </w:p>
        </w:tc>
      </w:tr>
      <w:tr>
        <w:trPr>
          <w:cantSplit/>
        </w:trPr>
        <w:tc>
          <w:tcPr>
            <w:tcW w:type="dxa" w:w="12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Restrict</w:t>
            </w:r>
          </w:p>
        </w:tc>
        <w:tc>
          <w:tcPr>
            <w:tcW w:type="dxa" w:w="32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Developer and support roles exceeded job needs</w:t>
            </w:r>
          </w:p>
        </w:tc>
        <w:tc>
          <w:tcPr>
            <w:tcW w:type="dxa" w:w="4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Remove direct database access and broad administrator roles</w:t>
            </w:r>
          </w:p>
        </w:tc>
      </w:tr>
      <w:tr>
        <w:trPr>
          <w:cantSplit/>
        </w:trPr>
        <w:tc>
          <w:tcPr>
            <w:tcW w:type="dxa" w:w="12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Govern</w:t>
            </w:r>
          </w:p>
        </w:tc>
        <w:tc>
          <w:tcPr>
            <w:tcW w:type="dxa" w:w="32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Privileged service account lacked an owner</w:t>
            </w:r>
          </w:p>
        </w:tc>
        <w:tc>
          <w:tcPr>
            <w:tcW w:type="dxa" w:w="4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Assign ownership, rotate credentials, document scope and review date</w:t>
            </w:r>
          </w:p>
        </w:tc>
      </w:tr>
      <w:tr>
        <w:trPr>
          <w:cantSplit/>
        </w:trPr>
        <w:tc>
          <w:tcPr>
            <w:tcW w:type="dxa" w:w="12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Time-limit</w:t>
            </w:r>
          </w:p>
        </w:tc>
        <w:tc>
          <w:tcPr>
            <w:tcW w:type="dxa" w:w="32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Vendor repository access lacked expiration</w:t>
            </w:r>
          </w:p>
        </w:tc>
        <w:tc>
          <w:tcPr>
            <w:tcW w:type="dxa" w:w="4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Record sponsor, scope, expiration, and quarterly validation</w:t>
            </w:r>
          </w:p>
        </w:tc>
      </w:tr>
      <w:tr>
        <w:trPr>
          <w:cantSplit/>
        </w:trPr>
        <w:tc>
          <w:tcPr>
            <w:tcW w:type="dxa" w:w="12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Correct mover</w:t>
            </w:r>
          </w:p>
        </w:tc>
        <w:tc>
          <w:tcPr>
            <w:tcW w:type="dxa" w:w="32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Marketing employee retained support access</w:t>
            </w:r>
          </w:p>
        </w:tc>
        <w:tc>
          <w:tcPr>
            <w:tcW w:type="dxa" w:w="4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Remove inherited access and examine the transfer process</w:t>
            </w:r>
          </w:p>
        </w:tc>
      </w:tr>
    </w:tbl>
    <w:p>
      <w:pPr>
        <w:pStyle w:val="Heading2"/>
        <w:keepNext/>
      </w:pPr>
      <w:r>
        <w:t>VitaSync third-party assessment</w:t>
      </w:r>
    </w:p>
    <w:p>
      <w:r>
        <w:rPr>
          <w:rFonts w:ascii="Calibri" w:hAnsi="Calibri"/>
          <w:b w:val="0"/>
          <w:i w:val="0"/>
          <w:color w:val="1F2937"/>
          <w:sz w:val="22"/>
        </w:rPr>
        <w:t>VitaSync received an overall weighted control score of approximately 70%. The recommended decision is Conditional Approval because six material findings remain: three Critical and three High. Trainory should restrict scope and production exposure until the most consequential assurance and contractual gaps are resolved.</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2200"/>
        <w:gridCol w:w="1200"/>
        <w:gridCol w:w="5960"/>
      </w:tblGrid>
      <w:tr>
        <w:trPr>
          <w:tblHeader w:val="true"/>
          <w:cantSplit/>
        </w:trPr>
        <w:tc>
          <w:tcPr>
            <w:tcW w:type="dxa" w:w="22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Condition</w:t>
            </w:r>
          </w:p>
        </w:tc>
        <w:tc>
          <w:tcPr>
            <w:tcW w:type="dxa" w:w="12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Rating</w:t>
            </w:r>
          </w:p>
        </w:tc>
        <w:tc>
          <w:tcPr>
            <w:tcW w:type="dxa" w:w="596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Required action</w:t>
            </w:r>
          </w:p>
        </w:tc>
      </w:tr>
      <w:tr>
        <w:trPr>
          <w:cantSplit/>
        </w:trPr>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Independent assurance</w:t>
            </w:r>
          </w:p>
        </w:tc>
        <w:tc>
          <w:tcPr>
            <w:tcW w:type="dxa" w:w="1200"/>
            <w:vAlign w:val="center"/>
            <w:tcMar>
              <w:top w:w="80" w:type="dxa"/>
              <w:start w:w="120" w:type="dxa"/>
              <w:bottom w:w="80" w:type="dxa"/>
              <w:end w:w="120" w:type="dxa"/>
            </w:tcMar>
            <w:shd w:fill="FFEDD5"/>
          </w:tcPr>
          <w:p>
            <w:pPr>
              <w:spacing w:before="0" w:after="0" w:line="252" w:lineRule="auto"/>
              <w:jc w:val="center"/>
            </w:pPr>
            <w:r>
              <w:rPr>
                <w:rFonts w:ascii="Calibri" w:hAnsi="Calibri"/>
                <w:b/>
                <w:i w:val="0"/>
                <w:color w:val="C2410C"/>
                <w:sz w:val="17"/>
              </w:rPr>
              <w:t>High</w:t>
            </w:r>
          </w:p>
        </w:tc>
        <w:tc>
          <w:tcPr>
            <w:tcW w:type="dxa" w:w="59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Obtain current SOC 2 Type II or equivalent assurance.</w:t>
            </w:r>
          </w:p>
        </w:tc>
      </w:tr>
      <w:tr>
        <w:trPr>
          <w:cantSplit/>
        </w:trPr>
        <w:tc>
          <w:tcPr>
            <w:tcW w:type="dxa" w:w="22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Incident notification</w:t>
            </w:r>
          </w:p>
        </w:tc>
        <w:tc>
          <w:tcPr>
            <w:tcW w:type="dxa" w:w="1200"/>
            <w:shd w:fill="FEE2E2"/>
            <w:vAlign w:val="center"/>
            <w:tcMar>
              <w:top w:w="80" w:type="dxa"/>
              <w:start w:w="120" w:type="dxa"/>
              <w:bottom w:w="80" w:type="dxa"/>
              <w:end w:w="120" w:type="dxa"/>
            </w:tcMar>
          </w:tcPr>
          <w:p>
            <w:pPr>
              <w:spacing w:before="0" w:after="0" w:line="252" w:lineRule="auto"/>
              <w:jc w:val="center"/>
            </w:pPr>
            <w:r>
              <w:rPr>
                <w:rFonts w:ascii="Calibri" w:hAnsi="Calibri"/>
                <w:b/>
                <w:i w:val="0"/>
                <w:color w:val="9B1C1C"/>
                <w:sz w:val="17"/>
              </w:rPr>
              <w:t>Critical</w:t>
            </w:r>
          </w:p>
        </w:tc>
        <w:tc>
          <w:tcPr>
            <w:tcW w:type="dxa" w:w="59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Require notice without undue delay and within 24 hours of confirmed Trainory impact.</w:t>
            </w:r>
          </w:p>
        </w:tc>
      </w:tr>
      <w:tr>
        <w:trPr>
          <w:cantSplit/>
        </w:trPr>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Disaster recovery</w:t>
            </w:r>
          </w:p>
        </w:tc>
        <w:tc>
          <w:tcPr>
            <w:tcW w:type="dxa" w:w="1200"/>
            <w:vAlign w:val="center"/>
            <w:tcMar>
              <w:top w:w="80" w:type="dxa"/>
              <w:start w:w="120" w:type="dxa"/>
              <w:bottom w:w="80" w:type="dxa"/>
              <w:end w:w="120" w:type="dxa"/>
            </w:tcMar>
            <w:shd w:fill="FEE2E2"/>
          </w:tcPr>
          <w:p>
            <w:pPr>
              <w:spacing w:before="0" w:after="0" w:line="252" w:lineRule="auto"/>
              <w:jc w:val="center"/>
            </w:pPr>
            <w:r>
              <w:rPr>
                <w:rFonts w:ascii="Calibri" w:hAnsi="Calibri"/>
                <w:b/>
                <w:i w:val="0"/>
                <w:color w:val="9B1C1C"/>
                <w:sz w:val="17"/>
              </w:rPr>
              <w:t>Critical</w:t>
            </w:r>
          </w:p>
        </w:tc>
        <w:tc>
          <w:tcPr>
            <w:tcW w:type="dxa" w:w="59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Review current DR test results before production approval.</w:t>
            </w:r>
          </w:p>
        </w:tc>
      </w:tr>
      <w:tr>
        <w:trPr>
          <w:cantSplit/>
        </w:trPr>
        <w:tc>
          <w:tcPr>
            <w:tcW w:type="dxa" w:w="22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Retention and deletion</w:t>
            </w:r>
          </w:p>
        </w:tc>
        <w:tc>
          <w:tcPr>
            <w:tcW w:type="dxa" w:w="1200"/>
            <w:shd w:fill="FEE2E2"/>
            <w:vAlign w:val="center"/>
            <w:tcMar>
              <w:top w:w="80" w:type="dxa"/>
              <w:start w:w="120" w:type="dxa"/>
              <w:bottom w:w="80" w:type="dxa"/>
              <w:end w:w="120" w:type="dxa"/>
            </w:tcMar>
          </w:tcPr>
          <w:p>
            <w:pPr>
              <w:spacing w:before="0" w:after="0" w:line="252" w:lineRule="auto"/>
              <w:jc w:val="center"/>
            </w:pPr>
            <w:r>
              <w:rPr>
                <w:rFonts w:ascii="Calibri" w:hAnsi="Calibri"/>
                <w:b/>
                <w:i w:val="0"/>
                <w:color w:val="9B1C1C"/>
                <w:sz w:val="17"/>
              </w:rPr>
              <w:t>Critical</w:t>
            </w:r>
          </w:p>
        </w:tc>
        <w:tc>
          <w:tcPr>
            <w:tcW w:type="dxa" w:w="59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Define retention, backup deletion, completion timing, and written confirmation.</w:t>
            </w:r>
          </w:p>
        </w:tc>
      </w:tr>
      <w:tr>
        <w:trPr>
          <w:cantSplit/>
        </w:trPr>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Privileged access</w:t>
            </w:r>
          </w:p>
        </w:tc>
        <w:tc>
          <w:tcPr>
            <w:tcW w:type="dxa" w:w="1200"/>
            <w:vAlign w:val="center"/>
            <w:tcMar>
              <w:top w:w="80" w:type="dxa"/>
              <w:start w:w="120" w:type="dxa"/>
              <w:bottom w:w="80" w:type="dxa"/>
              <w:end w:w="120" w:type="dxa"/>
            </w:tcMar>
            <w:shd w:fill="FFEDD5"/>
          </w:tcPr>
          <w:p>
            <w:pPr>
              <w:spacing w:before="0" w:after="0" w:line="252" w:lineRule="auto"/>
              <w:jc w:val="center"/>
            </w:pPr>
            <w:r>
              <w:rPr>
                <w:rFonts w:ascii="Calibri" w:hAnsi="Calibri"/>
                <w:b/>
                <w:i w:val="0"/>
                <w:color w:val="C2410C"/>
                <w:sz w:val="17"/>
              </w:rPr>
              <w:t>High</w:t>
            </w:r>
          </w:p>
        </w:tc>
        <w:tc>
          <w:tcPr>
            <w:tcW w:type="dxa" w:w="59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Require quarterly review evidence for privileged roles.</w:t>
            </w:r>
          </w:p>
        </w:tc>
      </w:tr>
      <w:tr>
        <w:trPr>
          <w:cantSplit/>
        </w:trPr>
        <w:tc>
          <w:tcPr>
            <w:tcW w:type="dxa" w:w="22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Subprocessor obligations</w:t>
            </w:r>
          </w:p>
        </w:tc>
        <w:tc>
          <w:tcPr>
            <w:tcW w:type="dxa" w:w="1200"/>
            <w:shd w:fill="FFEDD5"/>
            <w:vAlign w:val="center"/>
            <w:tcMar>
              <w:top w:w="80" w:type="dxa"/>
              <w:start w:w="120" w:type="dxa"/>
              <w:bottom w:w="80" w:type="dxa"/>
              <w:end w:w="120" w:type="dxa"/>
            </w:tcMar>
          </w:tcPr>
          <w:p>
            <w:pPr>
              <w:spacing w:before="0" w:after="0" w:line="252" w:lineRule="auto"/>
              <w:jc w:val="center"/>
            </w:pPr>
            <w:r>
              <w:rPr>
                <w:rFonts w:ascii="Calibri" w:hAnsi="Calibri"/>
                <w:b/>
                <w:i w:val="0"/>
                <w:color w:val="C2410C"/>
                <w:sz w:val="17"/>
              </w:rPr>
              <w:t>High</w:t>
            </w:r>
          </w:p>
        </w:tc>
        <w:tc>
          <w:tcPr>
            <w:tcW w:type="dxa" w:w="59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Confirm security, notification, audit-cooperation, and termination rights.</w:t>
            </w:r>
          </w:p>
        </w:tc>
      </w:tr>
    </w:tbl>
    <w:tbl>
      <w:tblPr>
        <w:tblW w:type="dxa" w:w="9360"/>
        <w:jc w:val="left"/>
        <w:tblLayout w:type="fixed"/>
        <w:tblLook w:firstColumn="1" w:firstRow="1" w:lastColumn="0" w:lastRow="0" w:noHBand="0" w:noVBand="1" w:val="04A0"/>
        <w:tblInd w:w="120" w:type="dxa"/>
        <w:tblBorders>
          <w:top w:val="single" w:sz="4" w:space="0" w:color="D9E2EA"/>
          <w:left w:val="single" w:sz="18" w:space="0" w:color="7A5A00"/>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FEF3C7"/>
            <w:vAlign w:val="center"/>
            <w:tcMar>
              <w:top w:w="80" w:type="dxa"/>
              <w:start w:w="120" w:type="dxa"/>
              <w:bottom w:w="80" w:type="dxa"/>
              <w:end w:w="120" w:type="dxa"/>
            </w:tcMar>
          </w:tcPr>
          <w:p>
            <w:pPr>
              <w:spacing w:before="60" w:after="60"/>
            </w:pPr>
            <w:r>
              <w:rPr>
                <w:rFonts w:ascii="Calibri" w:hAnsi="Calibri"/>
                <w:b/>
                <w:i w:val="0"/>
                <w:color w:val="7A5A00"/>
                <w:sz w:val="22"/>
              </w:rPr>
              <w:t xml:space="preserve">Approval boundary: </w:t>
            </w:r>
            <w:r>
              <w:rPr>
                <w:rFonts w:ascii="Calibri" w:hAnsi="Calibri"/>
                <w:b w:val="0"/>
                <w:i w:val="0"/>
                <w:color w:val="1F2937"/>
                <w:sz w:val="22"/>
              </w:rPr>
              <w:t>Conditional approval permits only a limited, monitored integration with restricted API scopes, separate credentials, contract conditions, and tracked remediation. It is not a statement that the vendor is fully compliant or risk-free.</w:t>
            </w:r>
          </w:p>
        </w:tc>
      </w:tr>
    </w:tbl>
    <w:p>
      <w:pPr>
        <w:spacing w:after="0"/>
      </w:pPr>
    </w:p>
    <w:p>
      <w:pPr>
        <w:pStyle w:val="Heading1"/>
        <w:keepNext/>
        <w:pageBreakBefore/>
      </w:pPr>
      <w:r>
        <w:t>6. Remediation Roadmap</w:t>
      </w:r>
    </w:p>
    <w:p>
      <w:r>
        <w:rPr>
          <w:rFonts w:ascii="Calibri" w:hAnsi="Calibri"/>
          <w:b w:val="0"/>
          <w:i w:val="0"/>
          <w:color w:val="1F2937"/>
          <w:sz w:val="22"/>
        </w:rPr>
        <w:t>The roadmap sequences urgent exposure reduction before broader program maturity work. Dates and sequencing should be adjusted by accountable owners after technical validation, resource review, and executive approval.</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1200"/>
        <w:gridCol w:w="1900"/>
        <w:gridCol w:w="4400"/>
        <w:gridCol w:w="1860"/>
      </w:tblGrid>
      <w:tr>
        <w:trPr>
          <w:tblHeader w:val="true"/>
          <w:cantSplit/>
        </w:trPr>
        <w:tc>
          <w:tcPr>
            <w:tcW w:type="dxa" w:w="12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Timing</w:t>
            </w:r>
          </w:p>
        </w:tc>
        <w:tc>
          <w:tcPr>
            <w:tcW w:type="dxa" w:w="19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Objective</w:t>
            </w:r>
          </w:p>
        </w:tc>
        <w:tc>
          <w:tcPr>
            <w:tcW w:type="dxa" w:w="44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Actions</w:t>
            </w:r>
          </w:p>
        </w:tc>
        <w:tc>
          <w:tcPr>
            <w:tcW w:type="dxa" w:w="186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Accountability</w:t>
            </w:r>
          </w:p>
        </w:tc>
      </w:tr>
      <w:tr>
        <w:trPr>
          <w:cantSplit/>
        </w:trPr>
        <w:tc>
          <w:tcPr>
            <w:tcW w:type="dxa" w:w="12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6"/>
              </w:rPr>
              <w:t>0-30 days</w:t>
            </w:r>
          </w:p>
        </w:tc>
        <w:tc>
          <w:tcPr>
            <w:tcW w:type="dxa" w:w="19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Contain immediate exposure</w:t>
            </w:r>
          </w:p>
        </w:tc>
        <w:tc>
          <w:tcPr>
            <w:tcW w:type="dxa" w:w="44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Disable terminated access; remove unnecessary production/database privileges; assign the service-account owner; preserve closure evidence.</w:t>
            </w:r>
          </w:p>
        </w:tc>
        <w:tc>
          <w:tcPr>
            <w:tcW w:type="dxa" w:w="1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Cybersecurity, IT, system owners</w:t>
            </w:r>
          </w:p>
        </w:tc>
      </w:tr>
      <w:tr>
        <w:trPr>
          <w:cantSplit/>
        </w:trPr>
        <w:tc>
          <w:tcPr>
            <w:tcW w:type="dxa" w:w="12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6"/>
              </w:rPr>
              <w:t>0-30 days</w:t>
            </w:r>
          </w:p>
        </w:tc>
        <w:tc>
          <w:tcPr>
            <w:tcW w:type="dxa" w:w="19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Set governance</w:t>
            </w:r>
          </w:p>
        </w:tc>
        <w:tc>
          <w:tcPr>
            <w:tcW w:type="dxa" w:w="44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Approve risk appetite, acceptance authority, control ownership, and a monthly remediation review.</w:t>
            </w:r>
          </w:p>
        </w:tc>
        <w:tc>
          <w:tcPr>
            <w:tcW w:type="dxa" w:w="1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Executive leadership, Compliance</w:t>
            </w:r>
          </w:p>
        </w:tc>
      </w:tr>
      <w:tr>
        <w:trPr>
          <w:cantSplit/>
        </w:trPr>
        <w:tc>
          <w:tcPr>
            <w:tcW w:type="dxa" w:w="12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6"/>
              </w:rPr>
              <w:t>31-60 days</w:t>
            </w:r>
          </w:p>
        </w:tc>
        <w:tc>
          <w:tcPr>
            <w:tcW w:type="dxa" w:w="19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Strengthen vendor conditions</w:t>
            </w:r>
          </w:p>
        </w:tc>
        <w:tc>
          <w:tcPr>
            <w:tcW w:type="dxa" w:w="44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Resolve incident-notification, DR evidence, retention/deletion, assurance, and subprocessor requirements.</w:t>
            </w:r>
          </w:p>
        </w:tc>
        <w:tc>
          <w:tcPr>
            <w:tcW w:type="dxa" w:w="1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Vendor Management, Privacy/Legal</w:t>
            </w:r>
          </w:p>
        </w:tc>
      </w:tr>
      <w:tr>
        <w:trPr>
          <w:cantSplit/>
        </w:trPr>
        <w:tc>
          <w:tcPr>
            <w:tcW w:type="dxa" w:w="12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6"/>
              </w:rPr>
              <w:t>31-60 days</w:t>
            </w:r>
          </w:p>
        </w:tc>
        <w:tc>
          <w:tcPr>
            <w:tcW w:type="dxa" w:w="19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Improve protection</w:t>
            </w:r>
          </w:p>
        </w:tc>
        <w:tc>
          <w:tcPr>
            <w:tcW w:type="dxa" w:w="44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Implement secure configuration baselines, vulnerability scanning, patch SLAs, least-privilege roles, and customer-account safeguards.</w:t>
            </w:r>
          </w:p>
        </w:tc>
        <w:tc>
          <w:tcPr>
            <w:tcW w:type="dxa" w:w="1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Cloud, Development, Cybersecurity</w:t>
            </w:r>
          </w:p>
        </w:tc>
      </w:tr>
      <w:tr>
        <w:trPr>
          <w:cantSplit/>
        </w:trPr>
        <w:tc>
          <w:tcPr>
            <w:tcW w:type="dxa" w:w="12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6"/>
              </w:rPr>
              <w:t>61-90 days</w:t>
            </w:r>
          </w:p>
        </w:tc>
        <w:tc>
          <w:tcPr>
            <w:tcW w:type="dxa" w:w="19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Validate response and recovery</w:t>
            </w:r>
          </w:p>
        </w:tc>
        <w:tc>
          <w:tcPr>
            <w:tcW w:type="dxa" w:w="440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Conduct an incident tabletop and restoration test; record lessons, exceptions, and corrective actions.</w:t>
            </w:r>
          </w:p>
        </w:tc>
        <w:tc>
          <w:tcPr>
            <w:tcW w:type="dxa" w:w="1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Incident team, Cloud, Communications</w:t>
            </w:r>
          </w:p>
        </w:tc>
      </w:tr>
      <w:tr>
        <w:trPr>
          <w:cantSplit/>
        </w:trPr>
        <w:tc>
          <w:tcPr>
            <w:tcW w:type="dxa" w:w="12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6"/>
              </w:rPr>
              <w:t>61-90 days</w:t>
            </w:r>
          </w:p>
        </w:tc>
        <w:tc>
          <w:tcPr>
            <w:tcW w:type="dxa" w:w="19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Measure operating effectiveness</w:t>
            </w:r>
          </w:p>
        </w:tc>
        <w:tc>
          <w:tcPr>
            <w:tcW w:type="dxa" w:w="440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Collect recurring evidence, retest closed findings, update residual risk, and report trend metrics.</w:t>
            </w:r>
          </w:p>
        </w:tc>
        <w:tc>
          <w:tcPr>
            <w:tcW w:type="dxa" w:w="1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6"/>
              </w:rPr>
              <w:t>GRC, control owners, Internal Audit</w:t>
            </w:r>
          </w:p>
        </w:tc>
      </w:tr>
    </w:tbl>
    <w:p>
      <w:pPr>
        <w:pStyle w:val="Heading2"/>
        <w:keepNext/>
      </w:pPr>
      <w:r>
        <w:t>Recommended governance cadence</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1200"/>
        <w:gridCol w:w="5150"/>
        <w:gridCol w:w="3010"/>
      </w:tblGrid>
      <w:tr>
        <w:trPr>
          <w:tblHeader w:val="true"/>
          <w:cantSplit/>
        </w:trPr>
        <w:tc>
          <w:tcPr>
            <w:tcW w:type="dxa" w:w="120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Cadence</w:t>
            </w:r>
          </w:p>
        </w:tc>
        <w:tc>
          <w:tcPr>
            <w:tcW w:type="dxa" w:w="51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Review</w:t>
            </w:r>
          </w:p>
        </w:tc>
        <w:tc>
          <w:tcPr>
            <w:tcW w:type="dxa" w:w="301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Participants</w:t>
            </w:r>
          </w:p>
        </w:tc>
      </w:tr>
      <w:tr>
        <w:trPr>
          <w:cantSplit/>
        </w:trPr>
        <w:tc>
          <w:tcPr>
            <w:tcW w:type="dxa" w:w="12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Monthly</w:t>
            </w:r>
          </w:p>
        </w:tc>
        <w:tc>
          <w:tcPr>
            <w:tcW w:type="dxa" w:w="51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High-risk remediation and overdue finding review</w:t>
            </w:r>
          </w:p>
        </w:tc>
        <w:tc>
          <w:tcPr>
            <w:tcW w:type="dxa" w:w="30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Risk owners and executive sponsor</w:t>
            </w:r>
          </w:p>
        </w:tc>
      </w:tr>
      <w:tr>
        <w:trPr>
          <w:cantSplit/>
        </w:trPr>
        <w:tc>
          <w:tcPr>
            <w:tcW w:type="dxa" w:w="12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Quarterly</w:t>
            </w:r>
          </w:p>
        </w:tc>
        <w:tc>
          <w:tcPr>
            <w:tcW w:type="dxa" w:w="51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Risk register refresh, access certification, vulnerability and recovery metrics</w:t>
            </w:r>
          </w:p>
        </w:tc>
        <w:tc>
          <w:tcPr>
            <w:tcW w:type="dxa" w:w="30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GRC and control owners</w:t>
            </w:r>
          </w:p>
        </w:tc>
      </w:tr>
      <w:tr>
        <w:trPr>
          <w:cantSplit/>
        </w:trPr>
        <w:tc>
          <w:tcPr>
            <w:tcW w:type="dxa" w:w="120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Annually</w:t>
            </w:r>
          </w:p>
        </w:tc>
        <w:tc>
          <w:tcPr>
            <w:tcW w:type="dxa" w:w="51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Policy approval, vendor reassessment, NIST CSF maturity review, incident exercise</w:t>
            </w:r>
          </w:p>
        </w:tc>
        <w:tc>
          <w:tcPr>
            <w:tcW w:type="dxa" w:w="301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Executive leadership and GRC</w:t>
            </w:r>
          </w:p>
        </w:tc>
      </w:tr>
      <w:tr>
        <w:trPr>
          <w:cantSplit/>
        </w:trPr>
        <w:tc>
          <w:tcPr>
            <w:tcW w:type="dxa" w:w="120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Event-driven</w:t>
            </w:r>
          </w:p>
        </w:tc>
        <w:tc>
          <w:tcPr>
            <w:tcW w:type="dxa" w:w="51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Material incident, major architecture change, new sensitive-data use, or vendor change</w:t>
            </w:r>
          </w:p>
        </w:tc>
        <w:tc>
          <w:tcPr>
            <w:tcW w:type="dxa" w:w="301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Relevant owner with GRC review</w:t>
            </w:r>
          </w:p>
        </w:tc>
      </w:tr>
    </w:tbl>
    <w:p>
      <w:pPr>
        <w:pStyle w:val="Heading2"/>
        <w:keepNext/>
      </w:pPr>
      <w:r>
        <w:t>Success measures</w:t>
      </w:r>
    </w:p>
    <w:p>
      <w:pPr>
        <w:numPr>
          <w:ilvl w:val="0"/>
          <w:numId w:val="10"/>
        </w:numPr>
      </w:pPr>
      <w:r>
        <w:rPr>
          <w:rFonts w:ascii="Calibri" w:hAnsi="Calibri"/>
          <w:b w:val="0"/>
          <w:i w:val="0"/>
          <w:color w:val="1F2937"/>
          <w:sz w:val="22"/>
        </w:rPr>
        <w:t>Reduce High residual risks from 11 to a management-approved target after evidence-based reassessment.</w:t>
      </w:r>
    </w:p>
    <w:p>
      <w:pPr>
        <w:numPr>
          <w:ilvl w:val="0"/>
          <w:numId w:val="10"/>
        </w:numPr>
      </w:pPr>
      <w:r>
        <w:rPr>
          <w:rFonts w:ascii="Calibri" w:hAnsi="Calibri"/>
          <w:b w:val="0"/>
          <w:i w:val="0"/>
          <w:color w:val="1F2937"/>
          <w:sz w:val="22"/>
        </w:rPr>
        <w:t>Close all Critical access and vendor findings or document formal acceptance by authorized leadership.</w:t>
      </w:r>
    </w:p>
    <w:p>
      <w:pPr>
        <w:numPr>
          <w:ilvl w:val="0"/>
          <w:numId w:val="10"/>
        </w:numPr>
      </w:pPr>
      <w:r>
        <w:rPr>
          <w:rFonts w:ascii="Calibri" w:hAnsi="Calibri"/>
          <w:b w:val="0"/>
          <w:i w:val="0"/>
          <w:color w:val="1F2937"/>
          <w:sz w:val="22"/>
        </w:rPr>
        <w:t>Raise the selected NIST CSF maturity score through verified implementation, not documentation alone.</w:t>
      </w:r>
    </w:p>
    <w:p>
      <w:pPr>
        <w:numPr>
          <w:ilvl w:val="0"/>
          <w:numId w:val="10"/>
        </w:numPr>
      </w:pPr>
      <w:r>
        <w:rPr>
          <w:rFonts w:ascii="Calibri" w:hAnsi="Calibri"/>
          <w:b w:val="0"/>
          <w:i w:val="0"/>
          <w:color w:val="1F2937"/>
          <w:sz w:val="22"/>
        </w:rPr>
        <w:t>Complete access reviews, incident exercises, and restoration tests on schedule with retained evidence.</w:t>
      </w:r>
    </w:p>
    <w:p>
      <w:pPr>
        <w:pStyle w:val="Heading1"/>
        <w:keepNext/>
        <w:pageBreakBefore/>
      </w:pPr>
      <w:r>
        <w:t>7. Management Conclusion</w:t>
      </w:r>
    </w:p>
    <w:p>
      <w:r>
        <w:rPr>
          <w:rFonts w:ascii="Calibri" w:hAnsi="Calibri"/>
          <w:b w:val="0"/>
          <w:i w:val="0"/>
          <w:color w:val="1F2937"/>
          <w:sz w:val="22"/>
        </w:rPr>
        <w:t>Trainory has established the essential building blocks of a GRC program: an asset inventory, risk register, control assessment, policy and response documentation, vendor due diligence, access certification, analytics dashboard, and a Python reporting utility. Together, these artifacts create a traceable path from business assets to risks, controls, evidence, findings, remediation, and management decisions.</w:t>
      </w:r>
    </w:p>
    <w:p>
      <w:r>
        <w:rPr>
          <w:rFonts w:ascii="Calibri" w:hAnsi="Calibri"/>
          <w:b w:val="0"/>
          <w:i w:val="0"/>
          <w:color w:val="1F2937"/>
          <w:sz w:val="22"/>
        </w:rPr>
        <w:t>The current assessment does not support declaring the environment mature or fully compliant. The defensible conclusion is that risk is elevated but can be managed through immediate access correction, disciplined vendor conditions, stronger technical controls, tested response and recovery, and recurring evidence-based oversight.</w:t>
      </w:r>
    </w:p>
    <w:tbl>
      <w:tblPr>
        <w:tblW w:type="dxa" w:w="9360"/>
        <w:jc w:val="left"/>
        <w:tblLayout w:type="fixed"/>
        <w:tblLook w:firstColumn="1" w:firstRow="1" w:lastColumn="0" w:lastRow="0" w:noHBand="0" w:noVBand="1" w:val="04A0"/>
        <w:tblInd w:w="120" w:type="dxa"/>
        <w:tblBorders>
          <w:top w:val="single" w:sz="4" w:space="0" w:color="D9E2EA"/>
          <w:left w:val="single" w:sz="18" w:space="0" w:color="166534"/>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DCFCE7"/>
            <w:vAlign w:val="center"/>
            <w:tcMar>
              <w:top w:w="80" w:type="dxa"/>
              <w:start w:w="120" w:type="dxa"/>
              <w:bottom w:w="80" w:type="dxa"/>
              <w:end w:w="120" w:type="dxa"/>
            </w:tcMar>
          </w:tcPr>
          <w:p>
            <w:pPr>
              <w:spacing w:before="60" w:after="60"/>
            </w:pPr>
            <w:r>
              <w:rPr>
                <w:rFonts w:ascii="Calibri" w:hAnsi="Calibri"/>
                <w:b/>
                <w:i w:val="0"/>
                <w:color w:val="166534"/>
                <w:sz w:val="22"/>
              </w:rPr>
              <w:t xml:space="preserve">Recommended disposition: </w:t>
            </w:r>
            <w:r>
              <w:rPr>
                <w:rFonts w:ascii="Calibri" w:hAnsi="Calibri"/>
                <w:b w:val="0"/>
                <w:i w:val="0"/>
                <w:color w:val="1F2937"/>
                <w:sz w:val="22"/>
              </w:rPr>
              <w:t>Approve continued controlled operation and limited conditional vendor integration, subject to the 90-day roadmap, monthly executive review, closure validation, and formal acceptance of any residual risk that remains above tolerance.</w:t>
            </w:r>
          </w:p>
        </w:tc>
      </w:tr>
    </w:tbl>
    <w:p>
      <w:pPr>
        <w:spacing w:after="0"/>
      </w:pPr>
    </w:p>
    <w:p>
      <w:pPr>
        <w:pStyle w:val="Heading2"/>
        <w:keepNext/>
      </w:pPr>
      <w:r>
        <w:t>Evidence and portfolio artifacts</w:t>
      </w:r>
    </w:p>
    <w:tbl>
      <w:tblPr>
        <w:tblW w:type="dxa" w:w="9360"/>
        <w:jc w:val="left"/>
        <w:tblLayout w:type="fixed"/>
        <w:tblLook w:firstColumn="1" w:firstRow="1" w:lastColumn="0" w:lastRow="0" w:noHBand="0" w:noVBand="1" w:val="04A0"/>
        <w:tblInd w:w="120" w:type="dxa"/>
        <w:tblBorders>
          <w:top w:val="single" w:sz="4" w:space="0" w:color="D9E2EA"/>
          <w:left w:val="single" w:sz="4" w:space="0" w:color="D9E2EA"/>
          <w:bottom w:val="single" w:sz="4" w:space="0" w:color="D9E2EA"/>
          <w:right w:val="single" w:sz="4" w:space="0" w:color="D9E2EA"/>
          <w:insideH w:val="single" w:sz="4" w:space="0" w:color="D9E2EA"/>
          <w:insideV w:val="single" w:sz="4" w:space="0" w:color="D9E2EA"/>
        </w:tblBorders>
      </w:tblPr>
      <w:tblGrid>
        <w:gridCol w:w="650"/>
        <w:gridCol w:w="2850"/>
        <w:gridCol w:w="5860"/>
      </w:tblGrid>
      <w:tr>
        <w:trPr>
          <w:tblHeader w:val="true"/>
          <w:cantSplit/>
        </w:trPr>
        <w:tc>
          <w:tcPr>
            <w:tcW w:type="dxa" w:w="6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Step</w:t>
            </w:r>
          </w:p>
        </w:tc>
        <w:tc>
          <w:tcPr>
            <w:tcW w:type="dxa" w:w="285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Artifact</w:t>
            </w:r>
          </w:p>
        </w:tc>
        <w:tc>
          <w:tcPr>
            <w:tcW w:type="dxa" w:w="5860"/>
            <w:shd w:fill="2F6690"/>
            <w:vAlign w:val="center"/>
            <w:tcMar>
              <w:top w:w="80" w:type="dxa"/>
              <w:start w:w="120" w:type="dxa"/>
              <w:bottom w:w="80" w:type="dxa"/>
              <w:end w:w="120" w:type="dxa"/>
            </w:tcMar>
          </w:tcPr>
          <w:p>
            <w:pPr>
              <w:spacing w:before="0" w:after="0" w:line="252" w:lineRule="auto"/>
              <w:jc w:val="center"/>
            </w:pPr>
            <w:r>
              <w:rPr>
                <w:rFonts w:ascii="Calibri" w:hAnsi="Calibri"/>
                <w:b/>
                <w:i w:val="0"/>
                <w:color w:val="FFFFFF"/>
                <w:sz w:val="18"/>
              </w:rPr>
              <w:t>Evidence demonstrated</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1</w:t>
            </w:r>
          </w:p>
        </w:tc>
        <w:tc>
          <w:tcPr>
            <w:tcW w:type="dxa" w:w="28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Company Profile and Scope</w:t>
            </w:r>
          </w:p>
        </w:tc>
        <w:tc>
          <w:tcPr>
            <w:tcW w:type="dxa" w:w="5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Business context, system boundary, stakeholders, assumptions</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2</w:t>
            </w:r>
          </w:p>
        </w:tc>
        <w:tc>
          <w:tcPr>
            <w:tcW w:type="dxa" w:w="28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Asset Inventory</w:t>
            </w:r>
          </w:p>
        </w:tc>
        <w:tc>
          <w:tcPr>
            <w:tcW w:type="dxa" w:w="5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Assets, ownership, sensitivity, criticality, third-party dependencies</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3</w:t>
            </w:r>
          </w:p>
        </w:tc>
        <w:tc>
          <w:tcPr>
            <w:tcW w:type="dxa" w:w="28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Cybersecurity Risk Register</w:t>
            </w:r>
          </w:p>
        </w:tc>
        <w:tc>
          <w:tcPr>
            <w:tcW w:type="dxa" w:w="5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Inherent/residual scoring, treatment, ownership, actions</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4</w:t>
            </w:r>
          </w:p>
        </w:tc>
        <w:tc>
          <w:tcPr>
            <w:tcW w:type="dxa" w:w="28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NIST CSF 2.0 Assessment</w:t>
            </w:r>
          </w:p>
        </w:tc>
        <w:tc>
          <w:tcPr>
            <w:tcW w:type="dxa" w:w="5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Control status, evidence, gaps, priorities, framework mapping</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5</w:t>
            </w:r>
          </w:p>
        </w:tc>
        <w:tc>
          <w:tcPr>
            <w:tcW w:type="dxa" w:w="28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Access Control Policy</w:t>
            </w:r>
          </w:p>
        </w:tc>
        <w:tc>
          <w:tcPr>
            <w:tcW w:type="dxa" w:w="5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Identity lifecycle, least privilege, reviews, exceptions</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6</w:t>
            </w:r>
          </w:p>
        </w:tc>
        <w:tc>
          <w:tcPr>
            <w:tcW w:type="dxa" w:w="28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Incident Response Plan</w:t>
            </w:r>
          </w:p>
        </w:tc>
        <w:tc>
          <w:tcPr>
            <w:tcW w:type="dxa" w:w="5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Roles, severity, lifecycle, communications, exercises</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7</w:t>
            </w:r>
          </w:p>
        </w:tc>
        <w:tc>
          <w:tcPr>
            <w:tcW w:type="dxa" w:w="28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Third-Party Vendor Risk Assessment</w:t>
            </w:r>
          </w:p>
        </w:tc>
        <w:tc>
          <w:tcPr>
            <w:tcW w:type="dxa" w:w="5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VitaSync due diligence, findings, conditional decision</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8</w:t>
            </w:r>
          </w:p>
        </w:tc>
        <w:tc>
          <w:tcPr>
            <w:tcW w:type="dxa" w:w="28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Quarterly Access Review</w:t>
            </w:r>
          </w:p>
        </w:tc>
        <w:tc>
          <w:tcPr>
            <w:tcW w:type="dxa" w:w="5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Certification decisions, evidence log, corrective actions</w:t>
            </w:r>
          </w:p>
        </w:tc>
      </w:tr>
      <w:tr>
        <w:trPr>
          <w:cantSplit/>
        </w:trPr>
        <w:tc>
          <w:tcPr>
            <w:tcW w:type="dxa" w:w="650"/>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9</w:t>
            </w:r>
          </w:p>
        </w:tc>
        <w:tc>
          <w:tcPr>
            <w:tcW w:type="dxa" w:w="285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GRC Analytics Dashboard</w:t>
            </w:r>
          </w:p>
        </w:tc>
        <w:tc>
          <w:tcPr>
            <w:tcW w:type="dxa" w:w="5860"/>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Formula-driven KPIs, charts, normalized source data</w:t>
            </w:r>
          </w:p>
        </w:tc>
      </w:tr>
      <w:tr>
        <w:trPr>
          <w:cantSplit/>
        </w:trPr>
        <w:tc>
          <w:tcPr>
            <w:tcW w:type="dxa" w:w="650"/>
            <w:shd w:fill="F5F9FC"/>
            <w:vAlign w:val="center"/>
            <w:tcMar>
              <w:top w:w="80" w:type="dxa"/>
              <w:start w:w="120" w:type="dxa"/>
              <w:bottom w:w="80" w:type="dxa"/>
              <w:end w:w="120" w:type="dxa"/>
            </w:tcMar>
          </w:tcPr>
          <w:p>
            <w:pPr>
              <w:spacing w:before="0" w:after="0" w:line="252" w:lineRule="auto"/>
              <w:jc w:val="center"/>
            </w:pPr>
            <w:r>
              <w:rPr>
                <w:rFonts w:ascii="Calibri" w:hAnsi="Calibri"/>
                <w:b w:val="0"/>
                <w:i w:val="0"/>
                <w:color w:val="1F2937"/>
                <w:sz w:val="17"/>
              </w:rPr>
              <w:t>10</w:t>
            </w:r>
          </w:p>
        </w:tc>
        <w:tc>
          <w:tcPr>
            <w:tcW w:type="dxa" w:w="285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Python Risk Scoring Tool</w:t>
            </w:r>
          </w:p>
        </w:tc>
        <w:tc>
          <w:tcPr>
            <w:tcW w:type="dxa" w:w="5860"/>
            <w:shd w:fill="F5F9FC"/>
            <w:vAlign w:val="center"/>
            <w:tcMar>
              <w:top w:w="80" w:type="dxa"/>
              <w:start w:w="120" w:type="dxa"/>
              <w:bottom w:w="80" w:type="dxa"/>
              <w:end w:w="120" w:type="dxa"/>
            </w:tcMar>
          </w:tcPr>
          <w:p>
            <w:pPr>
              <w:spacing w:before="0" w:after="0" w:line="252" w:lineRule="auto"/>
              <w:jc w:val="left"/>
            </w:pPr>
            <w:r>
              <w:rPr>
                <w:rFonts w:ascii="Calibri" w:hAnsi="Calibri"/>
                <w:b w:val="0"/>
                <w:i w:val="0"/>
                <w:color w:val="1F2937"/>
                <w:sz w:val="17"/>
              </w:rPr>
              <w:t>CSV validation, scoring, prioritization, automated reporting, tests</w:t>
            </w:r>
          </w:p>
        </w:tc>
      </w:tr>
    </w:tbl>
    <w:p>
      <w:pPr>
        <w:pStyle w:val="Heading2"/>
        <w:keepNext/>
      </w:pPr>
      <w:r>
        <w:t>Framework reference</w:t>
      </w:r>
    </w:p>
    <w:p>
      <w:r>
        <w:rPr>
          <w:rFonts w:ascii="Calibri" w:hAnsi="Calibri"/>
          <w:b w:val="0"/>
          <w:i/>
          <w:color w:val="1F2937"/>
          <w:sz w:val="22"/>
        </w:rPr>
        <w:t>National Institute of Standards and Technology, Cybersecurity Framework 2.0: https://www.nist.gov/cyberframework</w:t>
      </w:r>
    </w:p>
    <w:tbl>
      <w:tblPr>
        <w:tblW w:type="dxa" w:w="9360"/>
        <w:jc w:val="left"/>
        <w:tblLayout w:type="fixed"/>
        <w:tblLook w:firstColumn="1" w:firstRow="1" w:lastColumn="0" w:lastRow="0" w:noHBand="0" w:noVBand="1" w:val="04A0"/>
        <w:tblInd w:w="120" w:type="dxa"/>
        <w:tblBorders>
          <w:top w:val="single" w:sz="4" w:space="0" w:color="D9E2EA"/>
          <w:left w:val="single" w:sz="18" w:space="0" w:color="667085"/>
          <w:bottom w:val="single" w:sz="4" w:space="0" w:color="D9E2EA"/>
          <w:right w:val="single" w:sz="4" w:space="0" w:color="D9E2EA"/>
          <w:insideH w:val="single" w:sz="4" w:space="0" w:color="D9E2EA"/>
          <w:insideV w:val="single" w:sz="4" w:space="0" w:color="D9E2EA"/>
        </w:tblBorders>
      </w:tblPr>
      <w:tblGrid>
        <w:gridCol w:w="9360"/>
      </w:tblGrid>
      <w:tr>
        <w:trPr>
          <w:cantSplit/>
        </w:trPr>
        <w:tc>
          <w:tcPr>
            <w:tcW w:type="dxa" w:w="9360"/>
            <w:shd w:fill="F2F4F7"/>
            <w:vAlign w:val="center"/>
            <w:tcMar>
              <w:top w:w="80" w:type="dxa"/>
              <w:start w:w="120" w:type="dxa"/>
              <w:bottom w:w="80" w:type="dxa"/>
              <w:end w:w="120" w:type="dxa"/>
            </w:tcMar>
          </w:tcPr>
          <w:p>
            <w:pPr>
              <w:spacing w:before="60" w:after="60"/>
            </w:pPr>
            <w:r>
              <w:rPr>
                <w:rFonts w:ascii="Calibri" w:hAnsi="Calibri"/>
                <w:b/>
                <w:i w:val="0"/>
                <w:color w:val="667085"/>
                <w:sz w:val="22"/>
              </w:rPr>
              <w:t xml:space="preserve">Portfolio disclaimer: </w:t>
            </w:r>
            <w:r>
              <w:rPr>
                <w:rFonts w:ascii="Calibri" w:hAnsi="Calibri"/>
                <w:b w:val="0"/>
                <w:i w:val="0"/>
                <w:color w:val="1F2937"/>
                <w:sz w:val="22"/>
              </w:rPr>
              <w:t>Trainory, VitaSync, all people, systems, risk ratings, evidence, findings, dates, and decisions in this report are fictional and created for educational portfolio purposes. This report is not an audit opinion, certification, legal conclusion, or production authorization.</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8"/>
      </w:rPr>
      <w:t xml:space="preserve">Page </w:t>
    </w:r>
    <w:r>
      <w:fldChar w:fldCharType="begin"/>
      <w:instrText xml:space="preserve">PAGE</w:instrText>
      <w:fldChar w:fldCharType="end"/>
    </w:r>
    <w:r>
      <w:rPr>
        <w:rFonts w:ascii="Calibri" w:hAnsi="Calibri"/>
        <w:b w:val="0"/>
        <w:i w:val="0"/>
        <w:color w:val="667085"/>
        <w:sz w:val="18"/>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085"/>
        <w:sz w:val="17"/>
      </w:rPr>
      <w:t>TRAINORY | EXECUTIVE GRC ASSESSMENT | FICTIONAL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16324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Calibri" w:hAnsi="Calibri"/>
      <w:b w:val="0"/>
      <w:i/>
      <w:iCs/>
      <w:color w:val="66708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Trainory Executive GRC Assessment Report</dc:title>
  <dc:subject>Fictional GRC portfolio executive assessment</dc:subject>
  <dc:creator>Jared Sanchez</dc:creator>
  <cp:keywords>GRC, cybersecurity, risk, compliance, NIST CSF, portfolio</cp:keywords>
  <dc:description>Educational portfolio artifact using fictional data.</dc:description>
  <cp:lastModifiedBy/>
  <cp:revision>1</cp:revision>
  <dcterms:created xsi:type="dcterms:W3CDTF">2013-12-23T23:15:00Z</dcterms:created>
  <dcterms:modified xsi:type="dcterms:W3CDTF">2013-12-23T23:15:00Z</dcterms:modified>
  <cp:category/>
</cp:coreProperties>
</file>