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40"/>
      </w:pPr>
      <w:r>
        <w:rPr>
          <w:rFonts w:ascii="Calibri" w:hAnsi="Calibri"/>
          <w:b/>
          <w:i w:val="0"/>
          <w:color w:val="2E74B5"/>
          <w:sz w:val="20"/>
        </w:rPr>
        <w:t>SECURITY PLAN</w:t>
      </w:r>
    </w:p>
    <w:p>
      <w:pPr>
        <w:spacing w:after="80"/>
      </w:pPr>
      <w:r>
        <w:rPr>
          <w:rFonts w:ascii="Calibri" w:hAnsi="Calibri"/>
          <w:b/>
          <w:i w:val="0"/>
          <w:color w:val="0B2545"/>
          <w:sz w:val="58"/>
        </w:rPr>
        <w:t>Incident Response Plan</w:t>
      </w:r>
    </w:p>
    <w:p>
      <w:pPr>
        <w:spacing w:after="360"/>
      </w:pPr>
      <w:r>
        <w:rPr>
          <w:rFonts w:ascii="Calibri" w:hAnsi="Calibri"/>
          <w:b w:val="0"/>
          <w:i w:val="0"/>
          <w:color w:val="5B6573"/>
          <w:sz w:val="26"/>
        </w:rPr>
        <w:t>Preparation, detection, containment, recovery, and continuous improvement</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shd w:fill="F2F4F7"/>
            <w:vAlign w:val="center"/>
            <w:tcMar>
              <w:top w:w="80" w:type="dxa"/>
              <w:start w:w="120" w:type="dxa"/>
              <w:bottom w:w="80" w:type="dxa"/>
              <w:end w:w="120" w:type="dxa"/>
            </w:tcMar>
          </w:tcPr>
          <w:p>
            <w:r>
              <w:rPr>
                <w:rFonts w:ascii="Calibri" w:hAnsi="Calibri"/>
                <w:b/>
                <w:i w:val="0"/>
                <w:color w:val="0B2545"/>
                <w:sz w:val="21"/>
              </w:rPr>
            </w:r>
            <w:r>
              <w:rPr>
                <w:rFonts w:ascii="Calibri" w:hAnsi="Calibri"/>
                <w:b/>
                <w:i w:val="0"/>
                <w:color w:val="0B2545"/>
                <w:sz w:val="21"/>
              </w:rPr>
              <w:t>Document information</w:t>
            </w:r>
          </w:p>
        </w:tc>
        <w:tc>
          <w:tcPr>
            <w:tcW w:type="dxa" w:w="6660"/>
            <w:shd w:fill="F2F4F7"/>
            <w:vAlign w:val="center"/>
            <w:tcMar>
              <w:top w:w="80" w:type="dxa"/>
              <w:start w:w="120" w:type="dxa"/>
              <w:bottom w:w="80" w:type="dxa"/>
              <w:end w:w="120" w:type="dxa"/>
            </w:tcMar>
          </w:tcPr>
          <w:p>
            <w:r/>
            <w:r>
              <w:rPr>
                <w:rFonts w:ascii="Calibri" w:hAnsi="Calibri"/>
                <w:b/>
                <w:i w:val="0"/>
                <w:color w:val="0B2545"/>
                <w:sz w:val="21"/>
              </w:rPr>
            </w:r>
          </w:p>
        </w:tc>
      </w:tr>
      <w:tr>
        <w:trPr>
          <w:cantSplit/>
        </w:trPr>
        <w:tc>
          <w:tcPr>
            <w:tcW w:type="dxa" w:w="2700"/>
            <w:vAlign w:val="center"/>
            <w:tcMar>
              <w:top w:w="80" w:type="dxa"/>
              <w:start w:w="120" w:type="dxa"/>
              <w:bottom w:w="80" w:type="dxa"/>
              <w:end w:w="120" w:type="dxa"/>
            </w:tcMar>
          </w:tcPr>
          <w:p>
            <w:pPr>
              <w:spacing w:after="0" w:line="240" w:lineRule="auto"/>
            </w:pPr>
            <w:r>
              <w:rPr>
                <w:rFonts w:ascii="Calibri" w:hAnsi="Calibri"/>
                <w:b/>
                <w:i w:val="0"/>
                <w:color w:val="0B2545"/>
                <w:sz w:val="21"/>
              </w:rPr>
            </w:r>
            <w:r>
              <w:rPr>
                <w:rFonts w:ascii="Calibri" w:hAnsi="Calibri"/>
                <w:b w:val="0"/>
                <w:i w:val="0"/>
                <w:color w:val="111111"/>
                <w:sz w:val="21"/>
              </w:rPr>
              <w:t>Plan owner</w:t>
            </w:r>
          </w:p>
        </w:tc>
        <w:tc>
          <w:tcPr>
            <w:tcW w:type="dxa" w:w="6660"/>
            <w:vAlign w:val="center"/>
            <w:tcMar>
              <w:top w:w="80" w:type="dxa"/>
              <w:start w:w="120" w:type="dxa"/>
              <w:bottom w:w="80" w:type="dxa"/>
              <w:end w:w="120" w:type="dxa"/>
            </w:tcMar>
          </w:tcPr>
          <w:p>
            <w:pPr>
              <w:spacing w:after="0" w:line="240" w:lineRule="auto"/>
            </w:pPr>
            <w:r/>
            <w:r>
              <w:rPr>
                <w:rFonts w:ascii="Calibri" w:hAnsi="Calibri"/>
                <w:b w:val="0"/>
                <w:i w:val="0"/>
                <w:color w:val="111111"/>
                <w:sz w:val="21"/>
              </w:rPr>
              <w:t>Cybersecurity and Compliance</w:t>
            </w:r>
          </w:p>
        </w:tc>
      </w:tr>
      <w:tr>
        <w:trPr>
          <w:cantSplit/>
        </w:trPr>
        <w:tc>
          <w:tcPr>
            <w:tcW w:type="dxa" w:w="2700"/>
            <w:vAlign w:val="center"/>
            <w:tcMar>
              <w:top w:w="80" w:type="dxa"/>
              <w:start w:w="120" w:type="dxa"/>
              <w:bottom w:w="80" w:type="dxa"/>
              <w:end w:w="120" w:type="dxa"/>
            </w:tcMar>
          </w:tcPr>
          <w:p>
            <w:pPr>
              <w:spacing w:after="0" w:line="240" w:lineRule="auto"/>
            </w:pPr>
            <w:r>
              <w:rPr>
                <w:rFonts w:ascii="Calibri" w:hAnsi="Calibri"/>
                <w:b/>
                <w:i w:val="0"/>
                <w:color w:val="0B2545"/>
                <w:sz w:val="21"/>
              </w:rPr>
            </w:r>
            <w:r>
              <w:rPr>
                <w:rFonts w:ascii="Calibri" w:hAnsi="Calibri"/>
                <w:b w:val="0"/>
                <w:i w:val="0"/>
                <w:color w:val="111111"/>
                <w:sz w:val="21"/>
              </w:rPr>
              <w:t>Approving authority</w:t>
            </w:r>
          </w:p>
        </w:tc>
        <w:tc>
          <w:tcPr>
            <w:tcW w:type="dxa" w:w="6660"/>
            <w:vAlign w:val="center"/>
            <w:tcMar>
              <w:top w:w="80" w:type="dxa"/>
              <w:start w:w="120" w:type="dxa"/>
              <w:bottom w:w="80" w:type="dxa"/>
              <w:end w:w="120" w:type="dxa"/>
            </w:tcMar>
          </w:tcPr>
          <w:p>
            <w:pPr>
              <w:spacing w:after="0" w:line="240" w:lineRule="auto"/>
            </w:pPr>
            <w:r/>
            <w:r>
              <w:rPr>
                <w:rFonts w:ascii="Calibri" w:hAnsi="Calibri"/>
                <w:b w:val="0"/>
                <w:i w:val="0"/>
                <w:color w:val="111111"/>
                <w:sz w:val="21"/>
              </w:rPr>
              <w:t>Executive Leadership</w:t>
            </w:r>
          </w:p>
        </w:tc>
      </w:tr>
      <w:tr>
        <w:trPr>
          <w:cantSplit/>
        </w:trPr>
        <w:tc>
          <w:tcPr>
            <w:tcW w:type="dxa" w:w="2700"/>
            <w:vAlign w:val="center"/>
            <w:tcMar>
              <w:top w:w="80" w:type="dxa"/>
              <w:start w:w="120" w:type="dxa"/>
              <w:bottom w:w="80" w:type="dxa"/>
              <w:end w:w="120" w:type="dxa"/>
            </w:tcMar>
          </w:tcPr>
          <w:p>
            <w:pPr>
              <w:spacing w:after="0" w:line="240" w:lineRule="auto"/>
            </w:pPr>
            <w:r>
              <w:rPr>
                <w:rFonts w:ascii="Calibri" w:hAnsi="Calibri"/>
                <w:b/>
                <w:i w:val="0"/>
                <w:color w:val="0B2545"/>
                <w:sz w:val="21"/>
              </w:rPr>
            </w:r>
            <w:r>
              <w:rPr>
                <w:rFonts w:ascii="Calibri" w:hAnsi="Calibri"/>
                <w:b w:val="0"/>
                <w:i w:val="0"/>
                <w:color w:val="111111"/>
                <w:sz w:val="21"/>
              </w:rPr>
              <w:t>Version</w:t>
            </w:r>
          </w:p>
        </w:tc>
        <w:tc>
          <w:tcPr>
            <w:tcW w:type="dxa" w:w="6660"/>
            <w:vAlign w:val="center"/>
            <w:tcMar>
              <w:top w:w="80" w:type="dxa"/>
              <w:start w:w="120" w:type="dxa"/>
              <w:bottom w:w="80" w:type="dxa"/>
              <w:end w:w="120" w:type="dxa"/>
            </w:tcMar>
          </w:tcPr>
          <w:p>
            <w:pPr>
              <w:spacing w:after="0" w:line="240" w:lineRule="auto"/>
            </w:pPr>
            <w:r/>
            <w:r>
              <w:rPr>
                <w:rFonts w:ascii="Calibri" w:hAnsi="Calibri"/>
                <w:b w:val="0"/>
                <w:i w:val="0"/>
                <w:color w:val="111111"/>
                <w:sz w:val="21"/>
              </w:rPr>
              <w:t>1.0</w:t>
            </w:r>
          </w:p>
        </w:tc>
      </w:tr>
      <w:tr>
        <w:trPr>
          <w:cantSplit/>
        </w:trPr>
        <w:tc>
          <w:tcPr>
            <w:tcW w:type="dxa" w:w="2700"/>
            <w:vAlign w:val="center"/>
            <w:tcMar>
              <w:top w:w="80" w:type="dxa"/>
              <w:start w:w="120" w:type="dxa"/>
              <w:bottom w:w="80" w:type="dxa"/>
              <w:end w:w="120" w:type="dxa"/>
            </w:tcMar>
          </w:tcPr>
          <w:p>
            <w:pPr>
              <w:spacing w:after="0" w:line="240" w:lineRule="auto"/>
            </w:pPr>
            <w:r>
              <w:rPr>
                <w:rFonts w:ascii="Calibri" w:hAnsi="Calibri"/>
                <w:b/>
                <w:i w:val="0"/>
                <w:color w:val="0B2545"/>
                <w:sz w:val="21"/>
              </w:rPr>
            </w:r>
            <w:r>
              <w:rPr>
                <w:rFonts w:ascii="Calibri" w:hAnsi="Calibri"/>
                <w:b w:val="0"/>
                <w:i w:val="0"/>
                <w:color w:val="111111"/>
                <w:sz w:val="21"/>
              </w:rPr>
              <w:t>Effective date</w:t>
            </w:r>
          </w:p>
        </w:tc>
        <w:tc>
          <w:tcPr>
            <w:tcW w:type="dxa" w:w="6660"/>
            <w:vAlign w:val="center"/>
            <w:tcMar>
              <w:top w:w="80" w:type="dxa"/>
              <w:start w:w="120" w:type="dxa"/>
              <w:bottom w:w="80" w:type="dxa"/>
              <w:end w:w="120" w:type="dxa"/>
            </w:tcMar>
          </w:tcPr>
          <w:p>
            <w:pPr>
              <w:spacing w:after="0" w:line="240" w:lineRule="auto"/>
            </w:pPr>
            <w:r/>
            <w:r>
              <w:rPr>
                <w:rFonts w:ascii="Calibri" w:hAnsi="Calibri"/>
                <w:b w:val="0"/>
                <w:i w:val="0"/>
                <w:color w:val="111111"/>
                <w:sz w:val="21"/>
              </w:rPr>
              <w:t>October 1, 2026</w:t>
            </w:r>
          </w:p>
        </w:tc>
      </w:tr>
      <w:tr>
        <w:trPr>
          <w:cantSplit/>
        </w:trPr>
        <w:tc>
          <w:tcPr>
            <w:tcW w:type="dxa" w:w="2700"/>
            <w:vAlign w:val="center"/>
            <w:tcMar>
              <w:top w:w="80" w:type="dxa"/>
              <w:start w:w="120" w:type="dxa"/>
              <w:bottom w:w="80" w:type="dxa"/>
              <w:end w:w="120" w:type="dxa"/>
            </w:tcMar>
          </w:tcPr>
          <w:p>
            <w:pPr>
              <w:spacing w:after="0" w:line="240" w:lineRule="auto"/>
            </w:pPr>
            <w:r>
              <w:rPr>
                <w:rFonts w:ascii="Calibri" w:hAnsi="Calibri"/>
                <w:b/>
                <w:i w:val="0"/>
                <w:color w:val="0B2545"/>
                <w:sz w:val="21"/>
              </w:rPr>
            </w:r>
            <w:r>
              <w:rPr>
                <w:rFonts w:ascii="Calibri" w:hAnsi="Calibri"/>
                <w:b w:val="0"/>
                <w:i w:val="0"/>
                <w:color w:val="111111"/>
                <w:sz w:val="21"/>
              </w:rPr>
              <w:t>Review cycle</w:t>
            </w:r>
          </w:p>
        </w:tc>
        <w:tc>
          <w:tcPr>
            <w:tcW w:type="dxa" w:w="6660"/>
            <w:vAlign w:val="center"/>
            <w:tcMar>
              <w:top w:w="80" w:type="dxa"/>
              <w:start w:w="120" w:type="dxa"/>
              <w:bottom w:w="80" w:type="dxa"/>
              <w:end w:w="120" w:type="dxa"/>
            </w:tcMar>
          </w:tcPr>
          <w:p>
            <w:pPr>
              <w:spacing w:after="0" w:line="240" w:lineRule="auto"/>
            </w:pPr>
            <w:r/>
            <w:r>
              <w:rPr>
                <w:rFonts w:ascii="Calibri" w:hAnsi="Calibri"/>
                <w:b w:val="0"/>
                <w:i w:val="0"/>
                <w:color w:val="111111"/>
                <w:sz w:val="21"/>
              </w:rPr>
              <w:t>At least annually and after material incidents or changes</w:t>
            </w:r>
          </w:p>
        </w:tc>
      </w:tr>
      <w:tr>
        <w:trPr>
          <w:cantSplit/>
        </w:trPr>
        <w:tc>
          <w:tcPr>
            <w:tcW w:type="dxa" w:w="2700"/>
            <w:vAlign w:val="center"/>
            <w:tcMar>
              <w:top w:w="80" w:type="dxa"/>
              <w:start w:w="120" w:type="dxa"/>
              <w:bottom w:w="80" w:type="dxa"/>
              <w:end w:w="120" w:type="dxa"/>
            </w:tcMar>
          </w:tcPr>
          <w:p>
            <w:pPr>
              <w:spacing w:after="0" w:line="240" w:lineRule="auto"/>
            </w:pPr>
            <w:r>
              <w:rPr>
                <w:rFonts w:ascii="Calibri" w:hAnsi="Calibri"/>
                <w:b/>
                <w:i w:val="0"/>
                <w:color w:val="0B2545"/>
                <w:sz w:val="21"/>
              </w:rPr>
            </w:r>
            <w:r>
              <w:rPr>
                <w:rFonts w:ascii="Calibri" w:hAnsi="Calibri"/>
                <w:b w:val="0"/>
                <w:i w:val="0"/>
                <w:color w:val="111111"/>
                <w:sz w:val="21"/>
              </w:rPr>
              <w:t>Status</w:t>
            </w:r>
          </w:p>
        </w:tc>
        <w:tc>
          <w:tcPr>
            <w:tcW w:type="dxa" w:w="6660"/>
            <w:vAlign w:val="center"/>
            <w:tcMar>
              <w:top w:w="80" w:type="dxa"/>
              <w:start w:w="120" w:type="dxa"/>
              <w:bottom w:w="80" w:type="dxa"/>
              <w:end w:w="120" w:type="dxa"/>
            </w:tcMar>
          </w:tcPr>
          <w:p>
            <w:pPr>
              <w:spacing w:after="0" w:line="240" w:lineRule="auto"/>
            </w:pPr>
            <w:r/>
            <w:r>
              <w:rPr>
                <w:rFonts w:ascii="Calibri" w:hAnsi="Calibri"/>
                <w:b w:val="0"/>
                <w:i w:val="0"/>
                <w:color w:val="111111"/>
                <w:sz w:val="21"/>
              </w:rPr>
              <w:t>Portfolio draft - fictional company</w:t>
            </w:r>
          </w:p>
        </w:tc>
      </w:tr>
    </w:tbl>
    <w:p>
      <w:pPr>
        <w:keepNext w:val="0"/>
        <w:spacing w:before="0" w:after="160" w:line="264" w:lineRule="auto"/>
        <w:jc w:val="left"/>
      </w:pPr>
      <w:r>
        <w:rPr>
          <w:rFonts w:ascii="Calibri" w:hAnsi="Calibri"/>
          <w:b w:val="0"/>
          <w:i/>
          <w:color w:val="111111"/>
          <w:sz w:val="22"/>
        </w:rPr>
        <w:t>Portfolio disclaimer: Trainory is a fictional organization. This plan is an educational portfolio artifact and does not represent legal advice, certification, or an actual incident-response engagement.</w:t>
      </w:r>
    </w:p>
    <w:p>
      <w:pPr>
        <w:pStyle w:val="Heading1"/>
      </w:pPr>
      <w:r>
        <w:t>1. Purpose</w:t>
      </w:r>
    </w:p>
    <w:p>
      <w:pPr>
        <w:keepNext w:val="0"/>
        <w:spacing w:before="0" w:after="120" w:line="264" w:lineRule="auto"/>
        <w:jc w:val="left"/>
      </w:pPr>
      <w:r>
        <w:rPr>
          <w:rFonts w:ascii="Calibri" w:hAnsi="Calibri"/>
          <w:b w:val="0"/>
          <w:i w:val="0"/>
          <w:color w:val="111111"/>
          <w:sz w:val="22"/>
        </w:rPr>
        <w:t>This plan establishes a repeatable process for preparing for, identifying, analyzing, containing, eradicating, recovering from, and learning from cybersecurity incidents affecting Trainory. It is designed to reduce harm to customers, employees, operations, and sensitive fitness, wellness, identity, and business information.</w:t>
      </w:r>
    </w:p>
    <w:p>
      <w:pPr>
        <w:pStyle w:val="Heading1"/>
      </w:pPr>
      <w:r>
        <w:t>2. Scope</w:t>
      </w:r>
    </w:p>
    <w:p>
      <w:pPr>
        <w:keepNext w:val="0"/>
        <w:spacing w:before="0" w:after="120" w:line="264" w:lineRule="auto"/>
        <w:jc w:val="left"/>
      </w:pPr>
      <w:r>
        <w:rPr>
          <w:rFonts w:ascii="Calibri" w:hAnsi="Calibri"/>
          <w:b w:val="0"/>
          <w:i w:val="0"/>
          <w:color w:val="111111"/>
          <w:sz w:val="22"/>
        </w:rPr>
        <w:t>The plan applies to Trainory employees, contractors, systems, applications, cloud services, endpoints, source-code repositories, integrations, vendors, and information assets. It covers suspected and confirmed incidents involving unauthorized access, malware, phishing, data exposure, service disruption, lost devices, exposed credentials, privacy events, or third-party compromise.</w:t>
      </w:r>
    </w:p>
    <w:p>
      <w:pPr>
        <w:pStyle w:val="Heading1"/>
      </w:pPr>
      <w:r>
        <w:t>3. Objectives and guiding principles</w:t>
      </w:r>
    </w:p>
    <w:p>
      <w:pPr>
        <w:pStyle w:val="ListBullet"/>
        <w:jc w:val="left"/>
      </w:pPr>
      <w:r>
        <w:rPr>
          <w:rFonts w:ascii="Calibri" w:hAnsi="Calibri"/>
          <w:b w:val="0"/>
          <w:i w:val="0"/>
          <w:color w:val="111111"/>
          <w:sz w:val="22"/>
        </w:rPr>
        <w:t>Protect people, sensitive information, and critical services first.</w:t>
      </w:r>
    </w:p>
    <w:p>
      <w:pPr>
        <w:pStyle w:val="ListBullet"/>
        <w:jc w:val="left"/>
      </w:pPr>
      <w:r>
        <w:rPr>
          <w:rFonts w:ascii="Calibri" w:hAnsi="Calibri"/>
          <w:b w:val="0"/>
          <w:i w:val="0"/>
          <w:color w:val="111111"/>
          <w:sz w:val="22"/>
        </w:rPr>
        <w:t>Escalate quickly when facts are incomplete; severity may be adjusted as evidence improves.</w:t>
      </w:r>
    </w:p>
    <w:p>
      <w:pPr>
        <w:pStyle w:val="ListBullet"/>
        <w:jc w:val="left"/>
      </w:pPr>
      <w:r>
        <w:rPr>
          <w:rFonts w:ascii="Calibri" w:hAnsi="Calibri"/>
          <w:b w:val="0"/>
          <w:i w:val="0"/>
          <w:color w:val="111111"/>
          <w:sz w:val="22"/>
        </w:rPr>
        <w:t>Preserve reliable evidence and maintain a documented timeline of decisions and actions.</w:t>
      </w:r>
    </w:p>
    <w:p>
      <w:pPr>
        <w:pStyle w:val="ListBullet"/>
        <w:jc w:val="left"/>
      </w:pPr>
      <w:r>
        <w:rPr>
          <w:rFonts w:ascii="Calibri" w:hAnsi="Calibri"/>
          <w:b w:val="0"/>
          <w:i w:val="0"/>
          <w:color w:val="111111"/>
          <w:sz w:val="22"/>
        </w:rPr>
        <w:t>Limit incident details to personnel with a legitimate response or communication need.</w:t>
      </w:r>
    </w:p>
    <w:p>
      <w:pPr>
        <w:pStyle w:val="ListBullet"/>
        <w:jc w:val="left"/>
      </w:pPr>
      <w:r>
        <w:rPr>
          <w:rFonts w:ascii="Calibri" w:hAnsi="Calibri"/>
          <w:b w:val="0"/>
          <w:i w:val="0"/>
          <w:color w:val="111111"/>
          <w:sz w:val="22"/>
        </w:rPr>
        <w:t>Coordinate technical response, business continuity, privacy, legal, vendor, and customer considerations.</w:t>
      </w:r>
    </w:p>
    <w:p>
      <w:pPr>
        <w:pStyle w:val="ListBullet"/>
        <w:jc w:val="left"/>
      </w:pPr>
      <w:r>
        <w:rPr>
          <w:rFonts w:ascii="Calibri" w:hAnsi="Calibri"/>
          <w:b w:val="0"/>
          <w:i w:val="0"/>
          <w:color w:val="111111"/>
          <w:sz w:val="22"/>
        </w:rPr>
        <w:t>Use lessons learned to improve controls, training, monitoring, and risk treatment.</w:t>
      </w:r>
    </w:p>
    <w:p>
      <w:pPr>
        <w:pStyle w:val="Heading1"/>
      </w:pPr>
      <w:r>
        <w:t>4. Key definitions</w:t>
      </w:r>
    </w:p>
    <w:p>
      <w:pPr>
        <w:spacing w:after="100" w:line="264" w:lineRule="auto"/>
      </w:pPr>
      <w:r>
        <w:rPr>
          <w:rFonts w:ascii="Calibri" w:hAnsi="Calibri"/>
          <w:b/>
          <w:i w:val="0"/>
          <w:color w:val="0B2545"/>
          <w:sz w:val="22"/>
        </w:rPr>
        <w:t xml:space="preserve">Security event: </w:t>
      </w:r>
      <w:r>
        <w:rPr>
          <w:rFonts w:ascii="Calibri" w:hAnsi="Calibri"/>
          <w:b w:val="0"/>
          <w:i w:val="0"/>
          <w:color w:val="111111"/>
          <w:sz w:val="22"/>
        </w:rPr>
        <w:t>An observable occurrence that may be relevant to security but has not been confirmed as an incident.</w:t>
      </w:r>
    </w:p>
    <w:p>
      <w:pPr>
        <w:spacing w:after="100" w:line="264" w:lineRule="auto"/>
      </w:pPr>
      <w:r>
        <w:rPr>
          <w:rFonts w:ascii="Calibri" w:hAnsi="Calibri"/>
          <w:b/>
          <w:i w:val="0"/>
          <w:color w:val="0B2545"/>
          <w:sz w:val="22"/>
        </w:rPr>
        <w:t xml:space="preserve">Security incident: </w:t>
      </w:r>
      <w:r>
        <w:rPr>
          <w:rFonts w:ascii="Calibri" w:hAnsi="Calibri"/>
          <w:b w:val="0"/>
          <w:i w:val="0"/>
          <w:color w:val="111111"/>
          <w:sz w:val="22"/>
        </w:rPr>
        <w:t>An event or series of events that jeopardizes confidentiality, integrity, availability, privacy, or authorized use of Trainory resources.</w:t>
      </w:r>
    </w:p>
    <w:p>
      <w:pPr>
        <w:spacing w:after="100" w:line="264" w:lineRule="auto"/>
      </w:pPr>
      <w:r>
        <w:rPr>
          <w:rFonts w:ascii="Calibri" w:hAnsi="Calibri"/>
          <w:b/>
          <w:i w:val="0"/>
          <w:color w:val="0B2545"/>
          <w:sz w:val="22"/>
        </w:rPr>
        <w:t xml:space="preserve">Incident lead: </w:t>
      </w:r>
      <w:r>
        <w:rPr>
          <w:rFonts w:ascii="Calibri" w:hAnsi="Calibri"/>
          <w:b w:val="0"/>
          <w:i w:val="0"/>
          <w:color w:val="111111"/>
          <w:sz w:val="22"/>
        </w:rPr>
        <w:t>The person assigned to coordinate the response, decisions, documentation, and status reporting.</w:t>
      </w:r>
    </w:p>
    <w:p>
      <w:pPr>
        <w:spacing w:after="100" w:line="264" w:lineRule="auto"/>
      </w:pPr>
      <w:r>
        <w:rPr>
          <w:rFonts w:ascii="Calibri" w:hAnsi="Calibri"/>
          <w:b/>
          <w:i w:val="0"/>
          <w:color w:val="0B2545"/>
          <w:sz w:val="22"/>
        </w:rPr>
        <w:t xml:space="preserve">Containment: </w:t>
      </w:r>
      <w:r>
        <w:rPr>
          <w:rFonts w:ascii="Calibri" w:hAnsi="Calibri"/>
          <w:b w:val="0"/>
          <w:i w:val="0"/>
          <w:color w:val="111111"/>
          <w:sz w:val="22"/>
        </w:rPr>
        <w:t>Actions taken to limit the spread, access, damage, or operational impact of an incident.</w:t>
      </w:r>
    </w:p>
    <w:p>
      <w:pPr>
        <w:spacing w:after="100" w:line="264" w:lineRule="auto"/>
      </w:pPr>
      <w:r>
        <w:rPr>
          <w:rFonts w:ascii="Calibri" w:hAnsi="Calibri"/>
          <w:b/>
          <w:i w:val="0"/>
          <w:color w:val="0B2545"/>
          <w:sz w:val="22"/>
        </w:rPr>
        <w:t xml:space="preserve">Eradication: </w:t>
      </w:r>
      <w:r>
        <w:rPr>
          <w:rFonts w:ascii="Calibri" w:hAnsi="Calibri"/>
          <w:b w:val="0"/>
          <w:i w:val="0"/>
          <w:color w:val="111111"/>
          <w:sz w:val="22"/>
        </w:rPr>
        <w:t>Removal of the incident's cause, malicious artifacts, exposed credentials, or exploited weaknesses.</w:t>
      </w:r>
    </w:p>
    <w:p>
      <w:pPr>
        <w:pStyle w:val="Heading1"/>
      </w:pPr>
      <w:r>
        <w:t>5. Roles and responsibilities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shd w:fill="E8EEF5"/>
            <w:vAlign w:val="center"/>
            <w:tcMar>
              <w:top w:w="80" w:type="dxa"/>
              <w:start w:w="120" w:type="dxa"/>
              <w:bottom w:w="80" w:type="dxa"/>
              <w:end w:w="120" w:type="dxa"/>
            </w:tcMar>
          </w:tcPr>
          <w:p>
            <w:r/>
            <w:r>
              <w:rPr>
                <w:rFonts w:ascii="Calibri" w:hAnsi="Calibri"/>
                <w:b/>
                <w:i w:val="0"/>
                <w:color w:val="0B2545"/>
                <w:sz w:val="19"/>
              </w:rPr>
              <w:t>Role</w:t>
            </w:r>
          </w:p>
        </w:tc>
        <w:tc>
          <w:tcPr>
            <w:tcW w:type="dxa" w:w="6660"/>
            <w:shd w:fill="E8EEF5"/>
            <w:vAlign w:val="center"/>
            <w:tcMar>
              <w:top w:w="80" w:type="dxa"/>
              <w:start w:w="120" w:type="dxa"/>
              <w:bottom w:w="80" w:type="dxa"/>
              <w:end w:w="120" w:type="dxa"/>
            </w:tcMar>
          </w:tcPr>
          <w:p>
            <w:r/>
            <w:r>
              <w:rPr>
                <w:rFonts w:ascii="Calibri" w:hAnsi="Calibri"/>
                <w:b/>
                <w:i w:val="0"/>
                <w:color w:val="0B2545"/>
                <w:sz w:val="19"/>
              </w:rPr>
              <w:t>Primary responsibility</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b w:val="0"/>
                <w:i w:val="0"/>
                <w:color w:val="111111"/>
                <w:sz w:val="19"/>
              </w:rPr>
              <w:t>Executive Leadership</w:t>
            </w:r>
          </w:p>
        </w:tc>
        <w:tc>
          <w:tcPr>
            <w:tcW w:type="dxa" w:w="6660"/>
            <w:vAlign w:val="center"/>
            <w:tcMar>
              <w:top w:w="80" w:type="dxa"/>
              <w:start w:w="120" w:type="dxa"/>
              <w:bottom w:w="80" w:type="dxa"/>
              <w:end w:w="120" w:type="dxa"/>
            </w:tcMar>
          </w:tcPr>
          <w:p>
            <w:pPr>
              <w:spacing w:after="0" w:line="240" w:lineRule="auto"/>
            </w:pPr>
            <w:r/>
            <w:r>
              <w:rPr>
                <w:rFonts w:ascii="Calibri" w:hAnsi="Calibri"/>
                <w:b w:val="0"/>
                <w:i w:val="0"/>
                <w:color w:val="111111"/>
                <w:sz w:val="19"/>
              </w:rPr>
              <w:t>Authorize major business decisions, resources, external statements, and material risk acceptance.</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b w:val="0"/>
                <w:i w:val="0"/>
                <w:color w:val="111111"/>
                <w:sz w:val="19"/>
              </w:rPr>
              <w:t>Incident Lead</w:t>
            </w:r>
          </w:p>
        </w:tc>
        <w:tc>
          <w:tcPr>
            <w:tcW w:type="dxa" w:w="6660"/>
            <w:vAlign w:val="center"/>
            <w:tcMar>
              <w:top w:w="80" w:type="dxa"/>
              <w:start w:w="120" w:type="dxa"/>
              <w:bottom w:w="80" w:type="dxa"/>
              <w:end w:w="120" w:type="dxa"/>
            </w:tcMar>
          </w:tcPr>
          <w:p>
            <w:pPr>
              <w:spacing w:after="0" w:line="240" w:lineRule="auto"/>
            </w:pPr>
            <w:r/>
            <w:r>
              <w:rPr>
                <w:rFonts w:ascii="Calibri" w:hAnsi="Calibri"/>
                <w:b w:val="0"/>
                <w:i w:val="0"/>
                <w:color w:val="111111"/>
                <w:sz w:val="19"/>
              </w:rPr>
              <w:t>Declare and classify incidents, coordinate workstreams, maintain the timeline, and provide status updates.</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b w:val="0"/>
                <w:i w:val="0"/>
                <w:color w:val="111111"/>
                <w:sz w:val="19"/>
              </w:rPr>
              <w:t>Cybersecurity / IT</w:t>
            </w:r>
          </w:p>
        </w:tc>
        <w:tc>
          <w:tcPr>
            <w:tcW w:type="dxa" w:w="6660"/>
            <w:vAlign w:val="center"/>
            <w:tcMar>
              <w:top w:w="80" w:type="dxa"/>
              <w:start w:w="120" w:type="dxa"/>
              <w:bottom w:w="80" w:type="dxa"/>
              <w:end w:w="120" w:type="dxa"/>
            </w:tcMar>
          </w:tcPr>
          <w:p>
            <w:pPr>
              <w:spacing w:after="0" w:line="240" w:lineRule="auto"/>
            </w:pPr>
            <w:r/>
            <w:r>
              <w:rPr>
                <w:rFonts w:ascii="Calibri" w:hAnsi="Calibri"/>
                <w:b w:val="0"/>
                <w:i w:val="0"/>
                <w:color w:val="111111"/>
                <w:sz w:val="19"/>
              </w:rPr>
              <w:t>Investigate alerts, preserve evidence, contain threats, remediate systems, and validate secure recovery.</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b w:val="0"/>
                <w:i w:val="0"/>
                <w:color w:val="111111"/>
                <w:sz w:val="19"/>
              </w:rPr>
              <w:t>Software Development</w:t>
            </w:r>
          </w:p>
        </w:tc>
        <w:tc>
          <w:tcPr>
            <w:tcW w:type="dxa" w:w="6660"/>
            <w:vAlign w:val="center"/>
            <w:tcMar>
              <w:top w:w="80" w:type="dxa"/>
              <w:start w:w="120" w:type="dxa"/>
              <w:bottom w:w="80" w:type="dxa"/>
              <w:end w:w="120" w:type="dxa"/>
            </w:tcMar>
          </w:tcPr>
          <w:p>
            <w:pPr>
              <w:spacing w:after="0" w:line="240" w:lineRule="auto"/>
            </w:pPr>
            <w:r/>
            <w:r>
              <w:rPr>
                <w:rFonts w:ascii="Calibri" w:hAnsi="Calibri"/>
                <w:b w:val="0"/>
                <w:i w:val="0"/>
                <w:color w:val="111111"/>
                <w:sz w:val="19"/>
              </w:rPr>
              <w:t>Analyze application, API, code, and deployment issues; patch defects; validate production changes.</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b w:val="0"/>
                <w:i w:val="0"/>
                <w:color w:val="111111"/>
                <w:sz w:val="19"/>
              </w:rPr>
              <w:t>Privacy / Legal</w:t>
            </w:r>
          </w:p>
        </w:tc>
        <w:tc>
          <w:tcPr>
            <w:tcW w:type="dxa" w:w="6660"/>
            <w:vAlign w:val="center"/>
            <w:tcMar>
              <w:top w:w="80" w:type="dxa"/>
              <w:start w:w="120" w:type="dxa"/>
              <w:bottom w:w="80" w:type="dxa"/>
              <w:end w:w="120" w:type="dxa"/>
            </w:tcMar>
          </w:tcPr>
          <w:p>
            <w:pPr>
              <w:spacing w:after="0" w:line="240" w:lineRule="auto"/>
            </w:pPr>
            <w:r/>
            <w:r>
              <w:rPr>
                <w:rFonts w:ascii="Calibri" w:hAnsi="Calibri"/>
                <w:b w:val="0"/>
                <w:i w:val="0"/>
                <w:color w:val="111111"/>
                <w:sz w:val="19"/>
              </w:rPr>
              <w:t>Assess notification, contractual, privacy, legal, and law-enforcement considerations.</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b w:val="0"/>
                <w:i w:val="0"/>
                <w:color w:val="111111"/>
                <w:sz w:val="19"/>
              </w:rPr>
              <w:t>Communications / Support</w:t>
            </w:r>
          </w:p>
        </w:tc>
        <w:tc>
          <w:tcPr>
            <w:tcW w:type="dxa" w:w="6660"/>
            <w:vAlign w:val="center"/>
            <w:tcMar>
              <w:top w:w="80" w:type="dxa"/>
              <w:start w:w="120" w:type="dxa"/>
              <w:bottom w:w="80" w:type="dxa"/>
              <w:end w:w="120" w:type="dxa"/>
            </w:tcMar>
          </w:tcPr>
          <w:p>
            <w:pPr>
              <w:spacing w:after="0" w:line="240" w:lineRule="auto"/>
            </w:pPr>
            <w:r/>
            <w:r>
              <w:rPr>
                <w:rFonts w:ascii="Calibri" w:hAnsi="Calibri"/>
                <w:b w:val="0"/>
                <w:i w:val="0"/>
                <w:color w:val="111111"/>
                <w:sz w:val="19"/>
              </w:rPr>
              <w:t>Prepare approved employee, customer, vendor, and public communications.</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b w:val="0"/>
                <w:i w:val="0"/>
                <w:color w:val="111111"/>
                <w:sz w:val="19"/>
              </w:rPr>
              <w:t>System and Data Owners</w:t>
            </w:r>
          </w:p>
        </w:tc>
        <w:tc>
          <w:tcPr>
            <w:tcW w:type="dxa" w:w="6660"/>
            <w:vAlign w:val="center"/>
            <w:tcMar>
              <w:top w:w="80" w:type="dxa"/>
              <w:start w:w="120" w:type="dxa"/>
              <w:bottom w:w="80" w:type="dxa"/>
              <w:end w:w="120" w:type="dxa"/>
            </w:tcMar>
          </w:tcPr>
          <w:p>
            <w:pPr>
              <w:spacing w:after="0" w:line="240" w:lineRule="auto"/>
            </w:pPr>
            <w:r/>
            <w:r>
              <w:rPr>
                <w:rFonts w:ascii="Calibri" w:hAnsi="Calibri"/>
                <w:b w:val="0"/>
                <w:i w:val="0"/>
                <w:color w:val="111111"/>
                <w:sz w:val="19"/>
              </w:rPr>
              <w:t>Provide business context, approve service restoration, and verify data or process integrity.</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b w:val="0"/>
                <w:i w:val="0"/>
                <w:color w:val="111111"/>
                <w:sz w:val="19"/>
              </w:rPr>
              <w:t>All Personnel</w:t>
            </w:r>
          </w:p>
        </w:tc>
        <w:tc>
          <w:tcPr>
            <w:tcW w:type="dxa" w:w="6660"/>
            <w:vAlign w:val="center"/>
            <w:tcMar>
              <w:top w:w="80" w:type="dxa"/>
              <w:start w:w="120" w:type="dxa"/>
              <w:bottom w:w="80" w:type="dxa"/>
              <w:end w:w="120" w:type="dxa"/>
            </w:tcMar>
          </w:tcPr>
          <w:p>
            <w:pPr>
              <w:spacing w:after="0" w:line="240" w:lineRule="auto"/>
            </w:pPr>
            <w:r/>
            <w:r>
              <w:rPr>
                <w:rFonts w:ascii="Calibri" w:hAnsi="Calibri"/>
                <w:b w:val="0"/>
                <w:i w:val="0"/>
                <w:color w:val="111111"/>
                <w:sz w:val="19"/>
              </w:rPr>
              <w:t>Report suspected incidents promptly and avoid altering potential evidence unless instructed.</w:t>
            </w:r>
          </w:p>
        </w:tc>
      </w:tr>
    </w:tbl>
    <w:p>
      <w:pPr>
        <w:pStyle w:val="Heading1"/>
        <w:pageBreakBefore/>
      </w:pPr>
      <w:r>
        <w:t>6. Reporting and intake</w:t>
      </w:r>
    </w:p>
    <w:p>
      <w:pPr>
        <w:keepNext w:val="0"/>
        <w:spacing w:before="0" w:after="120" w:line="264" w:lineRule="auto"/>
        <w:jc w:val="left"/>
      </w:pPr>
      <w:r>
        <w:rPr>
          <w:rFonts w:ascii="Calibri" w:hAnsi="Calibri"/>
          <w:b w:val="0"/>
          <w:i w:val="0"/>
          <w:color w:val="111111"/>
          <w:sz w:val="22"/>
        </w:rPr>
        <w:t>Personnel must report suspected incidents immediately through Trainory's designated security channel or service desk. If normal systems are unavailable or may be compromised, personnel must use an approved out-of-band method. Reports should include what happened, when it was observed, affected users or systems, screenshots or alert details, and any actions already taken.</w:t>
      </w:r>
    </w:p>
    <w:p>
      <w:pPr>
        <w:pStyle w:val="ListBullet"/>
        <w:jc w:val="left"/>
      </w:pPr>
      <w:r>
        <w:rPr>
          <w:rFonts w:ascii="Calibri" w:hAnsi="Calibri"/>
          <w:b w:val="0"/>
          <w:i w:val="0"/>
          <w:color w:val="111111"/>
          <w:sz w:val="22"/>
        </w:rPr>
        <w:t>Do not investigate beyond your authorization or communicate publicly about the event.</w:t>
      </w:r>
    </w:p>
    <w:p>
      <w:pPr>
        <w:pStyle w:val="ListBullet"/>
        <w:jc w:val="left"/>
      </w:pPr>
      <w:r>
        <w:rPr>
          <w:rFonts w:ascii="Calibri" w:hAnsi="Calibri"/>
          <w:b w:val="0"/>
          <w:i w:val="0"/>
          <w:color w:val="111111"/>
          <w:sz w:val="22"/>
        </w:rPr>
        <w:t>Do not delete messages, logs, files, or devices that may contain evidence.</w:t>
      </w:r>
    </w:p>
    <w:p>
      <w:pPr>
        <w:pStyle w:val="ListBullet"/>
        <w:jc w:val="left"/>
      </w:pPr>
      <w:r>
        <w:rPr>
          <w:rFonts w:ascii="Calibri" w:hAnsi="Calibri"/>
          <w:b w:val="0"/>
          <w:i w:val="0"/>
          <w:color w:val="111111"/>
          <w:sz w:val="22"/>
        </w:rPr>
        <w:t>If a device appears actively compromised, disconnect it from networks when safe, but do not power it off unless directed.</w:t>
      </w:r>
    </w:p>
    <w:p>
      <w:pPr>
        <w:pStyle w:val="Heading1"/>
      </w:pPr>
      <w:r>
        <w:t>7. Severity classification and escalation</w:t>
      </w:r>
    </w:p>
    <w:tbl>
      <w:tblPr>
        <w:tblStyle w:val="TableGrid"/>
        <w:tblW w:type="dxa" w:w="9360"/>
        <w:jc w:val="left"/>
        <w:tblLayout w:type="fixed"/>
        <w:tblLook w:firstColumn="1" w:firstRow="1" w:lastColumn="0" w:lastRow="0" w:noHBand="0" w:noVBand="1" w:val="04A0"/>
        <w:tblInd w:w="120" w:type="dxa"/>
      </w:tblPr>
      <w:tblGrid>
        <w:gridCol w:w="1350"/>
        <w:gridCol w:w="4050"/>
        <w:gridCol w:w="1710"/>
        <w:gridCol w:w="2250"/>
      </w:tblGrid>
      <w:tr>
        <w:trPr>
          <w:cantSplit/>
        </w:trPr>
        <w:tc>
          <w:tcPr>
            <w:tcW w:type="dxa" w:w="1350"/>
            <w:shd w:fill="E8EEF5"/>
            <w:vAlign w:val="center"/>
            <w:tcMar>
              <w:top w:w="80" w:type="dxa"/>
              <w:start w:w="120" w:type="dxa"/>
              <w:bottom w:w="80" w:type="dxa"/>
              <w:end w:w="120" w:type="dxa"/>
            </w:tcMar>
          </w:tcPr>
          <w:p>
            <w:r/>
            <w:r>
              <w:rPr>
                <w:rFonts w:ascii="Calibri" w:hAnsi="Calibri"/>
                <w:b/>
                <w:i w:val="0"/>
                <w:color w:val="0B2545"/>
                <w:sz w:val="17"/>
              </w:rPr>
              <w:t>Level</w:t>
            </w:r>
          </w:p>
        </w:tc>
        <w:tc>
          <w:tcPr>
            <w:tcW w:type="dxa" w:w="4050"/>
            <w:shd w:fill="E8EEF5"/>
            <w:vAlign w:val="center"/>
            <w:tcMar>
              <w:top w:w="80" w:type="dxa"/>
              <w:start w:w="120" w:type="dxa"/>
              <w:bottom w:w="80" w:type="dxa"/>
              <w:end w:w="120" w:type="dxa"/>
            </w:tcMar>
          </w:tcPr>
          <w:p>
            <w:r/>
            <w:r>
              <w:rPr>
                <w:rFonts w:ascii="Calibri" w:hAnsi="Calibri"/>
                <w:b/>
                <w:i w:val="0"/>
                <w:color w:val="0B2545"/>
                <w:sz w:val="17"/>
              </w:rPr>
              <w:t>Example criteria</w:t>
            </w:r>
          </w:p>
        </w:tc>
        <w:tc>
          <w:tcPr>
            <w:tcW w:type="dxa" w:w="1710"/>
            <w:shd w:fill="E8EEF5"/>
            <w:vAlign w:val="center"/>
            <w:tcMar>
              <w:top w:w="80" w:type="dxa"/>
              <w:start w:w="120" w:type="dxa"/>
              <w:bottom w:w="80" w:type="dxa"/>
              <w:end w:w="120" w:type="dxa"/>
            </w:tcMar>
          </w:tcPr>
          <w:p>
            <w:r/>
            <w:r>
              <w:rPr>
                <w:rFonts w:ascii="Calibri" w:hAnsi="Calibri"/>
                <w:b/>
                <w:i w:val="0"/>
                <w:color w:val="0B2545"/>
                <w:sz w:val="17"/>
              </w:rPr>
              <w:t>Initial response target</w:t>
            </w:r>
          </w:p>
        </w:tc>
        <w:tc>
          <w:tcPr>
            <w:tcW w:type="dxa" w:w="2250"/>
            <w:shd w:fill="E8EEF5"/>
            <w:vAlign w:val="center"/>
            <w:tcMar>
              <w:top w:w="80" w:type="dxa"/>
              <w:start w:w="120" w:type="dxa"/>
              <w:bottom w:w="80" w:type="dxa"/>
              <w:end w:w="120" w:type="dxa"/>
            </w:tcMar>
          </w:tcPr>
          <w:p>
            <w:r/>
            <w:r>
              <w:rPr>
                <w:rFonts w:ascii="Calibri" w:hAnsi="Calibri"/>
                <w:b/>
                <w:i w:val="0"/>
                <w:color w:val="0B2545"/>
                <w:sz w:val="17"/>
              </w:rPr>
              <w:t>Notify</w:t>
            </w:r>
          </w:p>
        </w:tc>
      </w:tr>
      <w:tr>
        <w:trPr>
          <w:cantSplit/>
        </w:trPr>
        <w:tc>
          <w:tcPr>
            <w:tcW w:type="dxa" w:w="1350"/>
            <w:vAlign w:val="center"/>
            <w:tcMar>
              <w:top w:w="80" w:type="dxa"/>
              <w:start w:w="120" w:type="dxa"/>
              <w:bottom w:w="80" w:type="dxa"/>
              <w:end w:w="120" w:type="dxa"/>
            </w:tcMar>
          </w:tcPr>
          <w:p>
            <w:pPr>
              <w:spacing w:after="0" w:line="240" w:lineRule="auto"/>
            </w:pPr>
            <w:r/>
            <w:r>
              <w:rPr>
                <w:rFonts w:ascii="Calibri" w:hAnsi="Calibri"/>
                <w:b w:val="0"/>
                <w:i w:val="0"/>
                <w:color w:val="111111"/>
                <w:sz w:val="17"/>
              </w:rPr>
              <w:t>SEV-1 Critical</w:t>
            </w:r>
          </w:p>
        </w:tc>
        <w:tc>
          <w:tcPr>
            <w:tcW w:type="dxa" w:w="4050"/>
            <w:vAlign w:val="center"/>
            <w:tcMar>
              <w:top w:w="80" w:type="dxa"/>
              <w:start w:w="120" w:type="dxa"/>
              <w:bottom w:w="80" w:type="dxa"/>
              <w:end w:w="120" w:type="dxa"/>
            </w:tcMar>
          </w:tcPr>
          <w:p>
            <w:pPr>
              <w:spacing w:after="0" w:line="240" w:lineRule="auto"/>
            </w:pPr>
            <w:r/>
            <w:r>
              <w:rPr>
                <w:rFonts w:ascii="Calibri" w:hAnsi="Calibri"/>
                <w:b w:val="0"/>
                <w:i w:val="0"/>
                <w:color w:val="111111"/>
                <w:sz w:val="17"/>
              </w:rPr>
              <w:t>Confirmed or likely major data exposure, widespread ransomware, privileged compromise, or prolonged critical-service outage.</w:t>
            </w:r>
          </w:p>
        </w:tc>
        <w:tc>
          <w:tcPr>
            <w:tcW w:type="dxa" w:w="1710"/>
            <w:vAlign w:val="center"/>
            <w:tcMar>
              <w:top w:w="80" w:type="dxa"/>
              <w:start w:w="120" w:type="dxa"/>
              <w:bottom w:w="80" w:type="dxa"/>
              <w:end w:w="120" w:type="dxa"/>
            </w:tcMar>
          </w:tcPr>
          <w:p>
            <w:pPr>
              <w:spacing w:after="0" w:line="240" w:lineRule="auto"/>
            </w:pPr>
            <w:r/>
            <w:r>
              <w:rPr>
                <w:rFonts w:ascii="Calibri" w:hAnsi="Calibri"/>
                <w:b w:val="0"/>
                <w:i w:val="0"/>
                <w:color w:val="111111"/>
                <w:sz w:val="17"/>
              </w:rPr>
              <w:t>Immediate</w:t>
            </w:r>
          </w:p>
        </w:tc>
        <w:tc>
          <w:tcPr>
            <w:tcW w:type="dxa" w:w="2250"/>
            <w:vAlign w:val="center"/>
            <w:tcMar>
              <w:top w:w="80" w:type="dxa"/>
              <w:start w:w="120" w:type="dxa"/>
              <w:bottom w:w="80" w:type="dxa"/>
              <w:end w:w="120" w:type="dxa"/>
            </w:tcMar>
          </w:tcPr>
          <w:p>
            <w:pPr>
              <w:spacing w:after="0" w:line="240" w:lineRule="auto"/>
            </w:pPr>
            <w:r/>
            <w:r>
              <w:rPr>
                <w:rFonts w:ascii="Calibri" w:hAnsi="Calibri"/>
                <w:b w:val="0"/>
                <w:i w:val="0"/>
                <w:color w:val="111111"/>
                <w:sz w:val="17"/>
              </w:rPr>
              <w:t>Incident Lead, executives, Privacy/Legal, affected owners</w:t>
            </w:r>
          </w:p>
        </w:tc>
      </w:tr>
      <w:tr>
        <w:trPr>
          <w:cantSplit/>
        </w:trPr>
        <w:tc>
          <w:tcPr>
            <w:tcW w:type="dxa" w:w="1350"/>
            <w:vAlign w:val="center"/>
            <w:tcMar>
              <w:top w:w="80" w:type="dxa"/>
              <w:start w:w="120" w:type="dxa"/>
              <w:bottom w:w="80" w:type="dxa"/>
              <w:end w:w="120" w:type="dxa"/>
            </w:tcMar>
          </w:tcPr>
          <w:p>
            <w:pPr>
              <w:spacing w:after="0" w:line="240" w:lineRule="auto"/>
            </w:pPr>
            <w:r/>
            <w:r>
              <w:rPr>
                <w:rFonts w:ascii="Calibri" w:hAnsi="Calibri"/>
                <w:b w:val="0"/>
                <w:i w:val="0"/>
                <w:color w:val="111111"/>
                <w:sz w:val="17"/>
              </w:rPr>
              <w:t>SEV-2 High</w:t>
            </w:r>
          </w:p>
        </w:tc>
        <w:tc>
          <w:tcPr>
            <w:tcW w:type="dxa" w:w="4050"/>
            <w:vAlign w:val="center"/>
            <w:tcMar>
              <w:top w:w="80" w:type="dxa"/>
              <w:start w:w="120" w:type="dxa"/>
              <w:bottom w:w="80" w:type="dxa"/>
              <w:end w:w="120" w:type="dxa"/>
            </w:tcMar>
          </w:tcPr>
          <w:p>
            <w:pPr>
              <w:spacing w:after="0" w:line="240" w:lineRule="auto"/>
            </w:pPr>
            <w:r/>
            <w:r>
              <w:rPr>
                <w:rFonts w:ascii="Calibri" w:hAnsi="Calibri"/>
                <w:b w:val="0"/>
                <w:i w:val="0"/>
                <w:color w:val="111111"/>
                <w:sz w:val="17"/>
              </w:rPr>
              <w:t>Material compromise or disruption with limited scope, sensitive-data risk, or credible potential to escalate.</w:t>
            </w:r>
          </w:p>
        </w:tc>
        <w:tc>
          <w:tcPr>
            <w:tcW w:type="dxa" w:w="1710"/>
            <w:vAlign w:val="center"/>
            <w:tcMar>
              <w:top w:w="80" w:type="dxa"/>
              <w:start w:w="120" w:type="dxa"/>
              <w:bottom w:w="80" w:type="dxa"/>
              <w:end w:w="120" w:type="dxa"/>
            </w:tcMar>
          </w:tcPr>
          <w:p>
            <w:pPr>
              <w:spacing w:after="0" w:line="240" w:lineRule="auto"/>
            </w:pPr>
            <w:r/>
            <w:r>
              <w:rPr>
                <w:rFonts w:ascii="Calibri" w:hAnsi="Calibri"/>
                <w:b w:val="0"/>
                <w:i w:val="0"/>
                <w:color w:val="111111"/>
                <w:sz w:val="17"/>
              </w:rPr>
              <w:t>Within 30 minutes</w:t>
            </w:r>
          </w:p>
        </w:tc>
        <w:tc>
          <w:tcPr>
            <w:tcW w:type="dxa" w:w="2250"/>
            <w:vAlign w:val="center"/>
            <w:tcMar>
              <w:top w:w="80" w:type="dxa"/>
              <w:start w:w="120" w:type="dxa"/>
              <w:bottom w:w="80" w:type="dxa"/>
              <w:end w:w="120" w:type="dxa"/>
            </w:tcMar>
          </w:tcPr>
          <w:p>
            <w:pPr>
              <w:spacing w:after="0" w:line="240" w:lineRule="auto"/>
            </w:pPr>
            <w:r/>
            <w:r>
              <w:rPr>
                <w:rFonts w:ascii="Calibri" w:hAnsi="Calibri"/>
                <w:b w:val="0"/>
                <w:i w:val="0"/>
                <w:color w:val="111111"/>
                <w:sz w:val="17"/>
              </w:rPr>
              <w:t>Incident Lead, Cybersecurity/IT, relevant owners</w:t>
            </w:r>
          </w:p>
        </w:tc>
      </w:tr>
      <w:tr>
        <w:trPr>
          <w:cantSplit/>
        </w:trPr>
        <w:tc>
          <w:tcPr>
            <w:tcW w:type="dxa" w:w="1350"/>
            <w:vAlign w:val="center"/>
            <w:tcMar>
              <w:top w:w="80" w:type="dxa"/>
              <w:start w:w="120" w:type="dxa"/>
              <w:bottom w:w="80" w:type="dxa"/>
              <w:end w:w="120" w:type="dxa"/>
            </w:tcMar>
          </w:tcPr>
          <w:p>
            <w:pPr>
              <w:spacing w:after="0" w:line="240" w:lineRule="auto"/>
            </w:pPr>
            <w:r/>
            <w:r>
              <w:rPr>
                <w:rFonts w:ascii="Calibri" w:hAnsi="Calibri"/>
                <w:b w:val="0"/>
                <w:i w:val="0"/>
                <w:color w:val="111111"/>
                <w:sz w:val="17"/>
              </w:rPr>
              <w:t>SEV-3 Moderate</w:t>
            </w:r>
          </w:p>
        </w:tc>
        <w:tc>
          <w:tcPr>
            <w:tcW w:type="dxa" w:w="4050"/>
            <w:vAlign w:val="center"/>
            <w:tcMar>
              <w:top w:w="80" w:type="dxa"/>
              <w:start w:w="120" w:type="dxa"/>
              <w:bottom w:w="80" w:type="dxa"/>
              <w:end w:w="120" w:type="dxa"/>
            </w:tcMar>
          </w:tcPr>
          <w:p>
            <w:pPr>
              <w:spacing w:after="0" w:line="240" w:lineRule="auto"/>
            </w:pPr>
            <w:r/>
            <w:r>
              <w:rPr>
                <w:rFonts w:ascii="Calibri" w:hAnsi="Calibri"/>
                <w:b w:val="0"/>
                <w:i w:val="0"/>
                <w:color w:val="111111"/>
                <w:sz w:val="17"/>
              </w:rPr>
              <w:t>Contained event with limited impact, no known sensitive-data exposure, and manageable operational effect.</w:t>
            </w:r>
          </w:p>
        </w:tc>
        <w:tc>
          <w:tcPr>
            <w:tcW w:type="dxa" w:w="1710"/>
            <w:vAlign w:val="center"/>
            <w:tcMar>
              <w:top w:w="80" w:type="dxa"/>
              <w:start w:w="120" w:type="dxa"/>
              <w:bottom w:w="80" w:type="dxa"/>
              <w:end w:w="120" w:type="dxa"/>
            </w:tcMar>
          </w:tcPr>
          <w:p>
            <w:pPr>
              <w:spacing w:after="0" w:line="240" w:lineRule="auto"/>
            </w:pPr>
            <w:r/>
            <w:r>
              <w:rPr>
                <w:rFonts w:ascii="Calibri" w:hAnsi="Calibri"/>
                <w:b w:val="0"/>
                <w:i w:val="0"/>
                <w:color w:val="111111"/>
                <w:sz w:val="17"/>
              </w:rPr>
              <w:t>Within 4 hours</w:t>
            </w:r>
          </w:p>
        </w:tc>
        <w:tc>
          <w:tcPr>
            <w:tcW w:type="dxa" w:w="2250"/>
            <w:vAlign w:val="center"/>
            <w:tcMar>
              <w:top w:w="80" w:type="dxa"/>
              <w:start w:w="120" w:type="dxa"/>
              <w:bottom w:w="80" w:type="dxa"/>
              <w:end w:w="120" w:type="dxa"/>
            </w:tcMar>
          </w:tcPr>
          <w:p>
            <w:pPr>
              <w:spacing w:after="0" w:line="240" w:lineRule="auto"/>
            </w:pPr>
            <w:r/>
            <w:r>
              <w:rPr>
                <w:rFonts w:ascii="Calibri" w:hAnsi="Calibri"/>
                <w:b w:val="0"/>
                <w:i w:val="0"/>
                <w:color w:val="111111"/>
                <w:sz w:val="17"/>
              </w:rPr>
              <w:t>Cybersecurity/IT and system owner</w:t>
            </w:r>
          </w:p>
        </w:tc>
      </w:tr>
      <w:tr>
        <w:trPr>
          <w:cantSplit/>
        </w:trPr>
        <w:tc>
          <w:tcPr>
            <w:tcW w:type="dxa" w:w="1350"/>
            <w:vAlign w:val="center"/>
            <w:tcMar>
              <w:top w:w="80" w:type="dxa"/>
              <w:start w:w="120" w:type="dxa"/>
              <w:bottom w:w="80" w:type="dxa"/>
              <w:end w:w="120" w:type="dxa"/>
            </w:tcMar>
          </w:tcPr>
          <w:p>
            <w:pPr>
              <w:spacing w:after="0" w:line="240" w:lineRule="auto"/>
            </w:pPr>
            <w:r/>
            <w:r>
              <w:rPr>
                <w:rFonts w:ascii="Calibri" w:hAnsi="Calibri"/>
                <w:b w:val="0"/>
                <w:i w:val="0"/>
                <w:color w:val="111111"/>
                <w:sz w:val="17"/>
              </w:rPr>
              <w:t>SEV-4 Low</w:t>
            </w:r>
          </w:p>
        </w:tc>
        <w:tc>
          <w:tcPr>
            <w:tcW w:type="dxa" w:w="4050"/>
            <w:vAlign w:val="center"/>
            <w:tcMar>
              <w:top w:w="80" w:type="dxa"/>
              <w:start w:w="120" w:type="dxa"/>
              <w:bottom w:w="80" w:type="dxa"/>
              <w:end w:w="120" w:type="dxa"/>
            </w:tcMar>
          </w:tcPr>
          <w:p>
            <w:pPr>
              <w:spacing w:after="0" w:line="240" w:lineRule="auto"/>
            </w:pPr>
            <w:r/>
            <w:r>
              <w:rPr>
                <w:rFonts w:ascii="Calibri" w:hAnsi="Calibri"/>
                <w:b w:val="0"/>
                <w:i w:val="0"/>
                <w:color w:val="111111"/>
                <w:sz w:val="17"/>
              </w:rPr>
              <w:t>Suspicious or policy-related event with minimal impact that can follow normal service procedures.</w:t>
            </w:r>
          </w:p>
        </w:tc>
        <w:tc>
          <w:tcPr>
            <w:tcW w:type="dxa" w:w="1710"/>
            <w:vAlign w:val="center"/>
            <w:tcMar>
              <w:top w:w="80" w:type="dxa"/>
              <w:start w:w="120" w:type="dxa"/>
              <w:bottom w:w="80" w:type="dxa"/>
              <w:end w:w="120" w:type="dxa"/>
            </w:tcMar>
          </w:tcPr>
          <w:p>
            <w:pPr>
              <w:spacing w:after="0" w:line="240" w:lineRule="auto"/>
            </w:pPr>
            <w:r/>
            <w:r>
              <w:rPr>
                <w:rFonts w:ascii="Calibri" w:hAnsi="Calibri"/>
                <w:b w:val="0"/>
                <w:i w:val="0"/>
                <w:color w:val="111111"/>
                <w:sz w:val="17"/>
              </w:rPr>
              <w:t>Within 1 business day</w:t>
            </w:r>
          </w:p>
        </w:tc>
        <w:tc>
          <w:tcPr>
            <w:tcW w:type="dxa" w:w="2250"/>
            <w:vAlign w:val="center"/>
            <w:tcMar>
              <w:top w:w="80" w:type="dxa"/>
              <w:start w:w="120" w:type="dxa"/>
              <w:bottom w:w="80" w:type="dxa"/>
              <w:end w:w="120" w:type="dxa"/>
            </w:tcMar>
          </w:tcPr>
          <w:p>
            <w:pPr>
              <w:spacing w:after="0" w:line="240" w:lineRule="auto"/>
            </w:pPr>
            <w:r/>
            <w:r>
              <w:rPr>
                <w:rFonts w:ascii="Calibri" w:hAnsi="Calibri"/>
                <w:b w:val="0"/>
                <w:i w:val="0"/>
                <w:color w:val="111111"/>
                <w:sz w:val="17"/>
              </w:rPr>
              <w:t>Assigned responder and owner</w:t>
            </w:r>
          </w:p>
        </w:tc>
      </w:tr>
    </w:tbl>
    <w:p>
      <w:pPr>
        <w:keepNext w:val="0"/>
        <w:spacing w:before="0" w:after="80" w:line="264" w:lineRule="auto"/>
        <w:jc w:val="left"/>
      </w:pPr>
      <w:r>
        <w:rPr>
          <w:rFonts w:ascii="Calibri" w:hAnsi="Calibri"/>
          <w:b w:val="0"/>
          <w:i/>
          <w:color w:val="5B6573"/>
          <w:sz w:val="22"/>
        </w:rPr>
        <w:t>Targets are internal planning goals, not guarantees or legal notification deadlines. Privacy/Legal determines any externally required timeline.</w:t>
      </w:r>
    </w:p>
    <w:p>
      <w:pPr>
        <w:pStyle w:val="Heading1"/>
      </w:pPr>
      <w:r>
        <w:t>8. Incident-response lifecycle</w:t>
      </w:r>
    </w:p>
    <w:p>
      <w:pPr>
        <w:pStyle w:val="Heading2"/>
      </w:pPr>
      <w:r>
        <w:t>8.1 Preparation</w:t>
      </w:r>
    </w:p>
    <w:p>
      <w:pPr>
        <w:pStyle w:val="ListBullet"/>
        <w:jc w:val="left"/>
      </w:pPr>
      <w:r>
        <w:rPr>
          <w:rFonts w:ascii="Calibri" w:hAnsi="Calibri"/>
          <w:b w:val="0"/>
          <w:i w:val="0"/>
          <w:color w:val="111111"/>
          <w:sz w:val="22"/>
        </w:rPr>
        <w:t>Maintain current contact lists, asset ownership, logging, backups, access records, and response tools.</w:t>
      </w:r>
    </w:p>
    <w:p>
      <w:pPr>
        <w:pStyle w:val="ListBullet"/>
        <w:jc w:val="left"/>
      </w:pPr>
      <w:r>
        <w:rPr>
          <w:rFonts w:ascii="Calibri" w:hAnsi="Calibri"/>
          <w:b w:val="0"/>
          <w:i w:val="0"/>
          <w:color w:val="111111"/>
          <w:sz w:val="22"/>
        </w:rPr>
        <w:t>Protect emergency credentials and ensure responders can communicate if primary systems fail.</w:t>
      </w:r>
    </w:p>
    <w:p>
      <w:pPr>
        <w:pStyle w:val="ListBullet"/>
        <w:jc w:val="left"/>
      </w:pPr>
      <w:r>
        <w:rPr>
          <w:rFonts w:ascii="Calibri" w:hAnsi="Calibri"/>
          <w:b w:val="0"/>
          <w:i w:val="0"/>
          <w:color w:val="111111"/>
          <w:sz w:val="22"/>
        </w:rPr>
        <w:t>Train personnel on reporting and exercise high-risk scenarios at least annually.</w:t>
      </w:r>
    </w:p>
    <w:p>
      <w:pPr>
        <w:pStyle w:val="Heading2"/>
      </w:pPr>
      <w:r>
        <w:t>8.2 Detection and analysis</w:t>
      </w:r>
    </w:p>
    <w:p>
      <w:pPr>
        <w:pStyle w:val="ListBullet"/>
        <w:jc w:val="left"/>
      </w:pPr>
      <w:r>
        <w:rPr>
          <w:rFonts w:ascii="Calibri" w:hAnsi="Calibri"/>
          <w:b w:val="0"/>
          <w:i w:val="0"/>
          <w:color w:val="111111"/>
          <w:sz w:val="22"/>
        </w:rPr>
        <w:t>Validate the alert or report, identify affected assets and users, and open an incident record.</w:t>
      </w:r>
    </w:p>
    <w:p>
      <w:pPr>
        <w:pStyle w:val="ListBullet"/>
        <w:jc w:val="left"/>
      </w:pPr>
      <w:r>
        <w:rPr>
          <w:rFonts w:ascii="Calibri" w:hAnsi="Calibri"/>
          <w:b w:val="0"/>
          <w:i w:val="0"/>
          <w:color w:val="111111"/>
          <w:sz w:val="22"/>
        </w:rPr>
        <w:t>Assign an Incident Lead, initial severity, owners, and a protected communication channel.</w:t>
      </w:r>
    </w:p>
    <w:p>
      <w:pPr>
        <w:pStyle w:val="ListBullet"/>
        <w:jc w:val="left"/>
      </w:pPr>
      <w:r>
        <w:rPr>
          <w:rFonts w:ascii="Calibri" w:hAnsi="Calibri"/>
          <w:b w:val="0"/>
          <w:i w:val="0"/>
          <w:color w:val="111111"/>
          <w:sz w:val="22"/>
        </w:rPr>
        <w:t>Develop a working timeline, indicators of compromise, scope hypothesis, and impact assessment.</w:t>
      </w:r>
    </w:p>
    <w:p>
      <w:pPr>
        <w:pStyle w:val="ListBullet"/>
        <w:jc w:val="left"/>
      </w:pPr>
      <w:r>
        <w:rPr>
          <w:rFonts w:ascii="Calibri" w:hAnsi="Calibri"/>
          <w:b w:val="0"/>
          <w:i w:val="0"/>
          <w:color w:val="111111"/>
          <w:sz w:val="22"/>
        </w:rPr>
        <w:t>Determine whether sensitive information, customer accounts, third parties, or critical services may be affected.</w:t>
      </w:r>
    </w:p>
    <w:p>
      <w:pPr>
        <w:pStyle w:val="Heading2"/>
      </w:pPr>
      <w:r>
        <w:t>8.3 Containment</w:t>
      </w:r>
    </w:p>
    <w:p>
      <w:pPr>
        <w:pStyle w:val="ListBullet"/>
        <w:jc w:val="left"/>
      </w:pPr>
      <w:r>
        <w:rPr>
          <w:rFonts w:ascii="Calibri" w:hAnsi="Calibri"/>
          <w:b w:val="0"/>
          <w:i w:val="0"/>
          <w:color w:val="111111"/>
          <w:sz w:val="22"/>
        </w:rPr>
        <w:t>Select short-term actions that limit harm while preserving evidence and critical operations.</w:t>
      </w:r>
    </w:p>
    <w:p>
      <w:pPr>
        <w:pStyle w:val="ListBullet"/>
        <w:jc w:val="left"/>
      </w:pPr>
      <w:r>
        <w:rPr>
          <w:rFonts w:ascii="Calibri" w:hAnsi="Calibri"/>
          <w:b w:val="0"/>
          <w:i w:val="0"/>
          <w:color w:val="111111"/>
          <w:sz w:val="22"/>
        </w:rPr>
        <w:t>Disable or restrict compromised accounts; revoke sessions, tokens, and exposed credentials.</w:t>
      </w:r>
    </w:p>
    <w:p>
      <w:pPr>
        <w:pStyle w:val="ListBullet"/>
        <w:jc w:val="left"/>
      </w:pPr>
      <w:r>
        <w:rPr>
          <w:rFonts w:ascii="Calibri" w:hAnsi="Calibri"/>
          <w:b w:val="0"/>
          <w:i w:val="0"/>
          <w:color w:val="111111"/>
          <w:sz w:val="22"/>
        </w:rPr>
        <w:t>Isolate affected endpoints, workloads, repositories, integrations, or network paths where appropriate.</w:t>
      </w:r>
    </w:p>
    <w:p>
      <w:pPr>
        <w:pStyle w:val="ListBullet"/>
        <w:jc w:val="left"/>
      </w:pPr>
      <w:r>
        <w:rPr>
          <w:rFonts w:ascii="Calibri" w:hAnsi="Calibri"/>
          <w:b w:val="0"/>
          <w:i w:val="0"/>
          <w:color w:val="111111"/>
          <w:sz w:val="22"/>
        </w:rPr>
        <w:t>Block known malicious indicators and increase monitoring around affected assets.</w:t>
      </w:r>
    </w:p>
    <w:p>
      <w:pPr>
        <w:pStyle w:val="ListBullet"/>
        <w:jc w:val="left"/>
      </w:pPr>
      <w:r>
        <w:rPr>
          <w:rFonts w:ascii="Calibri" w:hAnsi="Calibri"/>
          <w:b w:val="0"/>
          <w:i w:val="0"/>
          <w:color w:val="111111"/>
          <w:sz w:val="22"/>
        </w:rPr>
        <w:t>Record who approved each material containment decision, when it occurred, and its business impact.</w:t>
      </w:r>
    </w:p>
    <w:p>
      <w:pPr>
        <w:pStyle w:val="Heading2"/>
      </w:pPr>
      <w:r>
        <w:t>8.4 Eradication and remediation</w:t>
      </w:r>
    </w:p>
    <w:p>
      <w:pPr>
        <w:pStyle w:val="ListBullet"/>
        <w:jc w:val="left"/>
      </w:pPr>
      <w:r>
        <w:rPr>
          <w:rFonts w:ascii="Calibri" w:hAnsi="Calibri"/>
          <w:b w:val="0"/>
          <w:i w:val="0"/>
          <w:color w:val="111111"/>
          <w:sz w:val="22"/>
        </w:rPr>
        <w:t>Remove malicious files, persistence mechanisms, unauthorized accounts, and unsafe configurations.</w:t>
      </w:r>
    </w:p>
    <w:p>
      <w:pPr>
        <w:pStyle w:val="ListBullet"/>
        <w:jc w:val="left"/>
      </w:pPr>
      <w:r>
        <w:rPr>
          <w:rFonts w:ascii="Calibri" w:hAnsi="Calibri"/>
          <w:b w:val="0"/>
          <w:i w:val="0"/>
          <w:color w:val="111111"/>
          <w:sz w:val="22"/>
        </w:rPr>
        <w:t>Patch exploited vulnerabilities, rotate affected secrets, and correct the root control weakness.</w:t>
      </w:r>
    </w:p>
    <w:p>
      <w:pPr>
        <w:pStyle w:val="ListBullet"/>
        <w:jc w:val="left"/>
      </w:pPr>
      <w:r>
        <w:rPr>
          <w:rFonts w:ascii="Calibri" w:hAnsi="Calibri"/>
          <w:b w:val="0"/>
          <w:i w:val="0"/>
          <w:color w:val="111111"/>
          <w:sz w:val="22"/>
        </w:rPr>
        <w:t>Scan or validate related systems to confirm the problem has not spread.</w:t>
      </w:r>
    </w:p>
    <w:p>
      <w:pPr>
        <w:pStyle w:val="ListBullet"/>
        <w:jc w:val="left"/>
      </w:pPr>
      <w:r>
        <w:rPr>
          <w:rFonts w:ascii="Calibri" w:hAnsi="Calibri"/>
          <w:b w:val="0"/>
          <w:i w:val="0"/>
          <w:color w:val="111111"/>
          <w:sz w:val="22"/>
        </w:rPr>
        <w:t>Use approved change controls for production remediation, including peer review and rollback planning when feasible.</w:t>
      </w:r>
    </w:p>
    <w:p>
      <w:pPr>
        <w:pStyle w:val="Heading2"/>
      </w:pPr>
      <w:r>
        <w:t>8.5 Recovery</w:t>
      </w:r>
    </w:p>
    <w:p>
      <w:pPr>
        <w:pStyle w:val="ListBullet"/>
        <w:jc w:val="left"/>
      </w:pPr>
      <w:r>
        <w:rPr>
          <w:rFonts w:ascii="Calibri" w:hAnsi="Calibri"/>
          <w:b w:val="0"/>
          <w:i w:val="0"/>
          <w:color w:val="111111"/>
          <w:sz w:val="22"/>
        </w:rPr>
        <w:t>Restore systems from trusted sources and validate security, functionality, and data integrity before release.</w:t>
      </w:r>
    </w:p>
    <w:p>
      <w:pPr>
        <w:pStyle w:val="ListBullet"/>
        <w:jc w:val="left"/>
      </w:pPr>
      <w:r>
        <w:rPr>
          <w:rFonts w:ascii="Calibri" w:hAnsi="Calibri"/>
          <w:b w:val="0"/>
          <w:i w:val="0"/>
          <w:color w:val="111111"/>
          <w:sz w:val="22"/>
        </w:rPr>
        <w:t>Prioritize critical customer and business services using documented recovery objectives.</w:t>
      </w:r>
    </w:p>
    <w:p>
      <w:pPr>
        <w:pStyle w:val="ListBullet"/>
        <w:jc w:val="left"/>
      </w:pPr>
      <w:r>
        <w:rPr>
          <w:rFonts w:ascii="Calibri" w:hAnsi="Calibri"/>
          <w:b w:val="0"/>
          <w:i w:val="0"/>
          <w:color w:val="111111"/>
          <w:sz w:val="22"/>
        </w:rPr>
        <w:t>Monitor restored systems closely for recurrence, suspicious access, or performance issues.</w:t>
      </w:r>
    </w:p>
    <w:p>
      <w:pPr>
        <w:pStyle w:val="ListBullet"/>
        <w:jc w:val="left"/>
      </w:pPr>
      <w:r>
        <w:rPr>
          <w:rFonts w:ascii="Calibri" w:hAnsi="Calibri"/>
          <w:b w:val="0"/>
          <w:i w:val="0"/>
          <w:color w:val="111111"/>
          <w:sz w:val="22"/>
        </w:rPr>
        <w:t>Obtain system-owner approval before returning material systems to normal operations.</w:t>
      </w:r>
    </w:p>
    <w:p>
      <w:pPr>
        <w:pStyle w:val="ListBullet"/>
        <w:jc w:val="left"/>
      </w:pPr>
      <w:r>
        <w:rPr>
          <w:rFonts w:ascii="Calibri" w:hAnsi="Calibri"/>
          <w:b w:val="0"/>
          <w:i w:val="0"/>
          <w:color w:val="111111"/>
          <w:sz w:val="22"/>
        </w:rPr>
        <w:t>Document remaining risk, temporary safeguards, and follow-up actions that cannot be completed immediately.</w:t>
      </w:r>
    </w:p>
    <w:p>
      <w:pPr>
        <w:pStyle w:val="Heading2"/>
      </w:pPr>
      <w:r>
        <w:t>8.6 Post-incident improvement</w:t>
      </w:r>
    </w:p>
    <w:p>
      <w:pPr>
        <w:keepNext w:val="0"/>
        <w:spacing w:before="0" w:after="120" w:line="264" w:lineRule="auto"/>
        <w:jc w:val="left"/>
      </w:pPr>
      <w:r>
        <w:rPr>
          <w:rFonts w:ascii="Calibri" w:hAnsi="Calibri"/>
          <w:b w:val="0"/>
          <w:i w:val="0"/>
          <w:color w:val="111111"/>
          <w:sz w:val="22"/>
        </w:rPr>
        <w:t>For SEV-1 and SEV-2 incidents, Trainory must conduct a lessons-learned review normally within ten business days of stabilization. Lower-severity incidents should be reviewed when they reveal a recurring problem, control gap, or valuable lesson.</w:t>
      </w:r>
    </w:p>
    <w:p>
      <w:pPr>
        <w:pStyle w:val="ListBullet"/>
        <w:jc w:val="left"/>
      </w:pPr>
      <w:r>
        <w:rPr>
          <w:rFonts w:ascii="Calibri" w:hAnsi="Calibri"/>
          <w:b w:val="0"/>
          <w:i w:val="0"/>
          <w:color w:val="111111"/>
          <w:sz w:val="22"/>
        </w:rPr>
        <w:t>Summarize the timeline, impact, root cause, response effectiveness, and communication decisions.</w:t>
      </w:r>
    </w:p>
    <w:p>
      <w:pPr>
        <w:pStyle w:val="ListBullet"/>
        <w:jc w:val="left"/>
      </w:pPr>
      <w:r>
        <w:rPr>
          <w:rFonts w:ascii="Calibri" w:hAnsi="Calibri"/>
          <w:b w:val="0"/>
          <w:i w:val="0"/>
          <w:color w:val="111111"/>
          <w:sz w:val="22"/>
        </w:rPr>
        <w:t>Assign corrective actions with owners, priority, due dates, and evidence of completion.</w:t>
      </w:r>
    </w:p>
    <w:p>
      <w:pPr>
        <w:pStyle w:val="ListBullet"/>
        <w:jc w:val="left"/>
      </w:pPr>
      <w:r>
        <w:rPr>
          <w:rFonts w:ascii="Calibri" w:hAnsi="Calibri"/>
          <w:b w:val="0"/>
          <w:i w:val="0"/>
          <w:color w:val="111111"/>
          <w:sz w:val="22"/>
        </w:rPr>
        <w:t>Update the risk register, controls, policies, monitoring, training, and playbooks as appropriate.</w:t>
      </w:r>
    </w:p>
    <w:p>
      <w:pPr>
        <w:pStyle w:val="ListBullet"/>
        <w:jc w:val="left"/>
      </w:pPr>
      <w:r>
        <w:rPr>
          <w:rFonts w:ascii="Calibri" w:hAnsi="Calibri"/>
          <w:b w:val="0"/>
          <w:i w:val="0"/>
          <w:color w:val="111111"/>
          <w:sz w:val="22"/>
        </w:rPr>
        <w:t>Share sanitized lessons with relevant personnel without assigning blame.</w:t>
      </w:r>
    </w:p>
    <w:p>
      <w:pPr>
        <w:pStyle w:val="Heading1"/>
      </w:pPr>
      <w:r>
        <w:t>9. Communication and notification</w:t>
      </w:r>
    </w:p>
    <w:p>
      <w:pPr>
        <w:keepNext w:val="0"/>
        <w:spacing w:before="0" w:after="120" w:line="264" w:lineRule="auto"/>
        <w:jc w:val="left"/>
      </w:pPr>
      <w:r>
        <w:rPr>
          <w:rFonts w:ascii="Calibri" w:hAnsi="Calibri"/>
          <w:b w:val="0"/>
          <w:i w:val="0"/>
          <w:color w:val="111111"/>
          <w:sz w:val="22"/>
        </w:rPr>
        <w:t>Only authorized personnel may communicate externally about an incident. Communications must be factual, appropriately scoped, approved, and updated as information changes. Privacy/Legal determines whether notification to customers, regulators, insurers, law enforcement, or contractual partners is required. Responders must not promise outcomes or disclose unverified details.</w:t>
      </w:r>
    </w:p>
    <w:p>
      <w:pPr>
        <w:pStyle w:val="Heading1"/>
      </w:pPr>
      <w:r>
        <w:t>10. Evidence and documentation</w:t>
      </w:r>
    </w:p>
    <w:p>
      <w:pPr>
        <w:pStyle w:val="ListBullet"/>
        <w:jc w:val="left"/>
      </w:pPr>
      <w:r>
        <w:rPr>
          <w:rFonts w:ascii="Calibri" w:hAnsi="Calibri"/>
          <w:b w:val="0"/>
          <w:i w:val="0"/>
          <w:color w:val="111111"/>
          <w:sz w:val="22"/>
        </w:rPr>
        <w:t>Maintain an incident record containing dates, times, reporters, severity, affected assets, evidence sources, decisions, actions, owners, and approvals.</w:t>
      </w:r>
    </w:p>
    <w:p>
      <w:pPr>
        <w:pStyle w:val="ListBullet"/>
        <w:jc w:val="left"/>
      </w:pPr>
      <w:r>
        <w:rPr>
          <w:rFonts w:ascii="Calibri" w:hAnsi="Calibri"/>
          <w:b w:val="0"/>
          <w:i w:val="0"/>
          <w:color w:val="111111"/>
          <w:sz w:val="22"/>
        </w:rPr>
        <w:t>Preserve relevant logs, messages, images, files, device details, and access records using approved storage and restricted access.</w:t>
      </w:r>
    </w:p>
    <w:p>
      <w:pPr>
        <w:pStyle w:val="ListBullet"/>
        <w:jc w:val="left"/>
      </w:pPr>
      <w:r>
        <w:rPr>
          <w:rFonts w:ascii="Calibri" w:hAnsi="Calibri"/>
          <w:b w:val="0"/>
          <w:i w:val="0"/>
          <w:color w:val="111111"/>
          <w:sz w:val="22"/>
        </w:rPr>
        <w:t>Record evidence collection and transfers so integrity and handling can be explained later.</w:t>
      </w:r>
    </w:p>
    <w:p>
      <w:pPr>
        <w:pStyle w:val="ListBullet"/>
        <w:jc w:val="left"/>
      </w:pPr>
      <w:r>
        <w:rPr>
          <w:rFonts w:ascii="Calibri" w:hAnsi="Calibri"/>
          <w:b w:val="0"/>
          <w:i w:val="0"/>
          <w:color w:val="111111"/>
          <w:sz w:val="22"/>
        </w:rPr>
        <w:t>Follow Privacy/Legal direction when litigation hold, law-enforcement coordination, or forensic support may be necessary.</w:t>
      </w:r>
    </w:p>
    <w:p>
      <w:pPr>
        <w:pStyle w:val="Heading1"/>
      </w:pPr>
      <w:r>
        <w:t>11. Scenario playbooks</w:t>
      </w:r>
    </w:p>
    <w:p>
      <w:pPr>
        <w:pStyle w:val="Heading2"/>
      </w:pPr>
      <w:r>
        <w:t>11.1 Phishing or account takeover</w:t>
      </w:r>
    </w:p>
    <w:p>
      <w:pPr>
        <w:pStyle w:val="ListBullet"/>
        <w:jc w:val="left"/>
      </w:pPr>
      <w:r>
        <w:rPr>
          <w:rFonts w:ascii="Calibri" w:hAnsi="Calibri"/>
          <w:b w:val="0"/>
          <w:i w:val="0"/>
          <w:color w:val="111111"/>
          <w:sz w:val="22"/>
        </w:rPr>
        <w:t>Reset credentials; revoke sessions, tokens, and suspicious authentication methods.</w:t>
      </w:r>
    </w:p>
    <w:p>
      <w:pPr>
        <w:pStyle w:val="ListBullet"/>
        <w:jc w:val="left"/>
      </w:pPr>
      <w:r>
        <w:rPr>
          <w:rFonts w:ascii="Calibri" w:hAnsi="Calibri"/>
          <w:b w:val="0"/>
          <w:i w:val="0"/>
          <w:color w:val="111111"/>
          <w:sz w:val="22"/>
        </w:rPr>
        <w:t>Review login, mailbox, forwarding, consent-grant, source-code, and cloud activity as applicable.</w:t>
      </w:r>
    </w:p>
    <w:p>
      <w:pPr>
        <w:pStyle w:val="ListBullet"/>
        <w:jc w:val="left"/>
      </w:pPr>
      <w:r>
        <w:rPr>
          <w:rFonts w:ascii="Calibri" w:hAnsi="Calibri"/>
          <w:b w:val="0"/>
          <w:i w:val="0"/>
          <w:color w:val="111111"/>
          <w:sz w:val="22"/>
        </w:rPr>
        <w:t>Identify fraudulent messages or transactions and warn likely recipients using approved communications.</w:t>
      </w:r>
    </w:p>
    <w:p>
      <w:pPr>
        <w:pStyle w:val="ListBullet"/>
        <w:jc w:val="left"/>
      </w:pPr>
      <w:r>
        <w:rPr>
          <w:rFonts w:ascii="Calibri" w:hAnsi="Calibri"/>
          <w:b w:val="0"/>
          <w:i w:val="0"/>
          <w:color w:val="111111"/>
          <w:sz w:val="22"/>
        </w:rPr>
        <w:t>Expand scope to connected accounts and rotate reused or exposed credentials.</w:t>
      </w:r>
    </w:p>
    <w:p>
      <w:pPr>
        <w:keepNext w:val="0"/>
        <w:spacing w:before="0" w:after="120" w:line="264" w:lineRule="auto"/>
        <w:jc w:val="left"/>
      </w:pPr>
      <w:r>
        <w:rPr>
          <w:rFonts w:ascii="Calibri" w:hAnsi="Calibri"/>
          <w:b w:val="0"/>
          <w:i/>
          <w:color w:val="5B6573"/>
          <w:sz w:val="22"/>
        </w:rPr>
        <w:t>Related Trainory risks: TRN-R001 and TRN-R010.</w:t>
      </w:r>
    </w:p>
    <w:p>
      <w:pPr>
        <w:pStyle w:val="Heading2"/>
      </w:pPr>
      <w:r>
        <w:t>11.2 Malware or ransomware</w:t>
      </w:r>
    </w:p>
    <w:p>
      <w:pPr>
        <w:pStyle w:val="ListBullet"/>
        <w:jc w:val="left"/>
      </w:pPr>
      <w:r>
        <w:rPr>
          <w:rFonts w:ascii="Calibri" w:hAnsi="Calibri"/>
          <w:b w:val="0"/>
          <w:i w:val="0"/>
          <w:color w:val="111111"/>
          <w:sz w:val="22"/>
        </w:rPr>
        <w:t>Isolate affected devices or workloads and activate out-of-band coordination if needed.</w:t>
      </w:r>
    </w:p>
    <w:p>
      <w:pPr>
        <w:pStyle w:val="ListBullet"/>
        <w:jc w:val="left"/>
      </w:pPr>
      <w:r>
        <w:rPr>
          <w:rFonts w:ascii="Calibri" w:hAnsi="Calibri"/>
          <w:b w:val="0"/>
          <w:i w:val="0"/>
          <w:color w:val="111111"/>
          <w:sz w:val="22"/>
        </w:rPr>
        <w:t>Identify initial access, affected identities, lateral movement, encryption, and possible data removal.</w:t>
      </w:r>
    </w:p>
    <w:p>
      <w:pPr>
        <w:pStyle w:val="ListBullet"/>
        <w:jc w:val="left"/>
      </w:pPr>
      <w:r>
        <w:rPr>
          <w:rFonts w:ascii="Calibri" w:hAnsi="Calibri"/>
          <w:b w:val="0"/>
          <w:i w:val="0"/>
          <w:color w:val="111111"/>
          <w:sz w:val="22"/>
        </w:rPr>
        <w:t>Protect backups, rotate exposed credentials, remove persistence, and rebuild from trusted sources.</w:t>
      </w:r>
    </w:p>
    <w:p>
      <w:pPr>
        <w:pStyle w:val="ListBullet"/>
        <w:jc w:val="left"/>
      </w:pPr>
      <w:r>
        <w:rPr>
          <w:rFonts w:ascii="Calibri" w:hAnsi="Calibri"/>
          <w:b w:val="0"/>
          <w:i w:val="0"/>
          <w:color w:val="111111"/>
          <w:sz w:val="22"/>
        </w:rPr>
        <w:t>Restore prioritized services and monitor for recurrence before closing the incident.</w:t>
      </w:r>
    </w:p>
    <w:p>
      <w:pPr>
        <w:keepNext w:val="0"/>
        <w:spacing w:before="0" w:after="120" w:line="264" w:lineRule="auto"/>
        <w:jc w:val="left"/>
      </w:pPr>
      <w:r>
        <w:rPr>
          <w:rFonts w:ascii="Calibri" w:hAnsi="Calibri"/>
          <w:b w:val="0"/>
          <w:i/>
          <w:color w:val="5B6573"/>
          <w:sz w:val="22"/>
        </w:rPr>
        <w:t>Related Trainory risks: TRN-R005, TRN-R011, and TRN-R012.</w:t>
      </w:r>
    </w:p>
    <w:p>
      <w:pPr>
        <w:pStyle w:val="Heading2"/>
      </w:pPr>
      <w:r>
        <w:t>11.3 Cloud misconfiguration or data exposure</w:t>
      </w:r>
    </w:p>
    <w:p>
      <w:pPr>
        <w:pStyle w:val="ListBullet"/>
        <w:jc w:val="left"/>
      </w:pPr>
      <w:r>
        <w:rPr>
          <w:rFonts w:ascii="Calibri" w:hAnsi="Calibri"/>
          <w:b w:val="0"/>
          <w:i w:val="0"/>
          <w:color w:val="111111"/>
          <w:sz w:val="22"/>
        </w:rPr>
        <w:t>Restrict public or unauthorized access while preserving configuration and access evidence.</w:t>
      </w:r>
    </w:p>
    <w:p>
      <w:pPr>
        <w:pStyle w:val="ListBullet"/>
        <w:jc w:val="left"/>
      </w:pPr>
      <w:r>
        <w:rPr>
          <w:rFonts w:ascii="Calibri" w:hAnsi="Calibri"/>
          <w:b w:val="0"/>
          <w:i w:val="0"/>
          <w:color w:val="111111"/>
          <w:sz w:val="22"/>
        </w:rPr>
        <w:t>Determine which data was accessible, for how long, and whether access or extraction occurred.</w:t>
      </w:r>
    </w:p>
    <w:p>
      <w:pPr>
        <w:pStyle w:val="ListBullet"/>
        <w:jc w:val="left"/>
      </w:pPr>
      <w:r>
        <w:rPr>
          <w:rFonts w:ascii="Calibri" w:hAnsi="Calibri"/>
          <w:b w:val="0"/>
          <w:i w:val="0"/>
          <w:color w:val="111111"/>
          <w:sz w:val="22"/>
        </w:rPr>
        <w:t>Correct configuration, keys, roles, and deployment controls; review similar resources for the same weakness.</w:t>
      </w:r>
    </w:p>
    <w:p>
      <w:pPr>
        <w:pStyle w:val="ListBullet"/>
        <w:jc w:val="left"/>
      </w:pPr>
      <w:r>
        <w:rPr>
          <w:rFonts w:ascii="Calibri" w:hAnsi="Calibri"/>
          <w:b w:val="0"/>
          <w:i w:val="0"/>
          <w:color w:val="111111"/>
          <w:sz w:val="22"/>
        </w:rPr>
        <w:t>Engage Privacy/Legal to evaluate contractual and notification obligations.</w:t>
      </w:r>
    </w:p>
    <w:p>
      <w:pPr>
        <w:keepNext w:val="0"/>
        <w:spacing w:before="0" w:after="120" w:line="264" w:lineRule="auto"/>
        <w:jc w:val="left"/>
      </w:pPr>
      <w:r>
        <w:rPr>
          <w:rFonts w:ascii="Calibri" w:hAnsi="Calibri"/>
          <w:b w:val="0"/>
          <w:i/>
          <w:color w:val="5B6573"/>
          <w:sz w:val="22"/>
        </w:rPr>
        <w:t>Related Trainory risks: TRN-R002, TRN-R004, TRN-R007, and TRN-R013.</w:t>
      </w:r>
    </w:p>
    <w:p>
      <w:pPr>
        <w:pStyle w:val="Heading2"/>
      </w:pPr>
      <w:r>
        <w:t>11.4 Application outage or denial of service</w:t>
      </w:r>
    </w:p>
    <w:p>
      <w:pPr>
        <w:pStyle w:val="ListBullet"/>
        <w:jc w:val="left"/>
      </w:pPr>
      <w:r>
        <w:rPr>
          <w:rFonts w:ascii="Calibri" w:hAnsi="Calibri"/>
          <w:b w:val="0"/>
          <w:i w:val="0"/>
          <w:color w:val="111111"/>
          <w:sz w:val="22"/>
        </w:rPr>
        <w:t>Confirm whether the cause is malicious activity, capacity, deployment, vendor failure, or infrastructure fault.</w:t>
      </w:r>
    </w:p>
    <w:p>
      <w:pPr>
        <w:pStyle w:val="ListBullet"/>
        <w:jc w:val="left"/>
      </w:pPr>
      <w:r>
        <w:rPr>
          <w:rFonts w:ascii="Calibri" w:hAnsi="Calibri"/>
          <w:b w:val="0"/>
          <w:i w:val="0"/>
          <w:color w:val="111111"/>
          <w:sz w:val="22"/>
        </w:rPr>
        <w:t>Apply rate limits, scaling, rollback, failover, or traffic controls according to approved procedures.</w:t>
      </w:r>
    </w:p>
    <w:p>
      <w:pPr>
        <w:pStyle w:val="ListBullet"/>
        <w:jc w:val="left"/>
      </w:pPr>
      <w:r>
        <w:rPr>
          <w:rFonts w:ascii="Calibri" w:hAnsi="Calibri"/>
          <w:b w:val="0"/>
          <w:i w:val="0"/>
          <w:color w:val="111111"/>
          <w:sz w:val="22"/>
        </w:rPr>
        <w:t>Protect evidence while prioritizing safe restoration of customer-facing services.</w:t>
      </w:r>
    </w:p>
    <w:p>
      <w:pPr>
        <w:pStyle w:val="ListBullet"/>
        <w:jc w:val="left"/>
      </w:pPr>
      <w:r>
        <w:rPr>
          <w:rFonts w:ascii="Calibri" w:hAnsi="Calibri"/>
          <w:b w:val="0"/>
          <w:i w:val="0"/>
          <w:color w:val="111111"/>
          <w:sz w:val="22"/>
        </w:rPr>
        <w:t>Issue approved status updates and document duration, affected services, and recovery decisions.</w:t>
      </w:r>
    </w:p>
    <w:p>
      <w:pPr>
        <w:keepNext w:val="0"/>
        <w:spacing w:before="0" w:after="120" w:line="264" w:lineRule="auto"/>
        <w:jc w:val="left"/>
      </w:pPr>
      <w:r>
        <w:rPr>
          <w:rFonts w:ascii="Calibri" w:hAnsi="Calibri"/>
          <w:b w:val="0"/>
          <w:i/>
          <w:color w:val="5B6573"/>
          <w:sz w:val="22"/>
        </w:rPr>
        <w:t>Related Trainory risks: TRN-R008, TRN-R009, and TRN-R015.</w:t>
      </w:r>
    </w:p>
    <w:p>
      <w:pPr>
        <w:pStyle w:val="Heading1"/>
      </w:pPr>
      <w:r>
        <w:t>12. Third-party incidents</w:t>
      </w:r>
    </w:p>
    <w:p>
      <w:pPr>
        <w:keepNext w:val="0"/>
        <w:spacing w:before="0" w:after="120" w:line="264" w:lineRule="auto"/>
        <w:jc w:val="left"/>
      </w:pPr>
      <w:r>
        <w:rPr>
          <w:rFonts w:ascii="Calibri" w:hAnsi="Calibri"/>
          <w:b w:val="0"/>
          <w:i w:val="0"/>
          <w:color w:val="111111"/>
          <w:sz w:val="22"/>
        </w:rPr>
        <w:t>When a vendor reports or causes an incident, Trainory must assign an internal owner, establish the affected services and data, obtain reliable status information, preserve contractual notices, assess downstream exposure, and track corrective actions. Trainory remains responsible for its own decisions, customer communications, access changes, and risk acceptance.</w:t>
      </w:r>
    </w:p>
    <w:p>
      <w:pPr>
        <w:pStyle w:val="Heading1"/>
      </w:pPr>
      <w:r>
        <w:t>13. Testing, review, and maintenance</w:t>
      </w:r>
    </w:p>
    <w:p>
      <w:pPr>
        <w:pStyle w:val="ListBullet"/>
        <w:jc w:val="left"/>
      </w:pPr>
      <w:r>
        <w:rPr>
          <w:rFonts w:ascii="Calibri" w:hAnsi="Calibri"/>
          <w:b w:val="0"/>
          <w:i w:val="0"/>
          <w:color w:val="111111"/>
          <w:sz w:val="22"/>
        </w:rPr>
        <w:t>Conduct at least one tabletop exercise annually; prioritize credential compromise or customer-data exposure.</w:t>
      </w:r>
    </w:p>
    <w:p>
      <w:pPr>
        <w:pStyle w:val="ListBullet"/>
        <w:jc w:val="left"/>
      </w:pPr>
      <w:r>
        <w:rPr>
          <w:rFonts w:ascii="Calibri" w:hAnsi="Calibri"/>
          <w:b w:val="0"/>
          <w:i w:val="0"/>
          <w:color w:val="111111"/>
          <w:sz w:val="22"/>
        </w:rPr>
        <w:t>Test contact methods, escalation paths, evidence capture, backup restoration, and customer-communication decisions.</w:t>
      </w:r>
    </w:p>
    <w:p>
      <w:pPr>
        <w:pStyle w:val="ListBullet"/>
        <w:jc w:val="left"/>
      </w:pPr>
      <w:r>
        <w:rPr>
          <w:rFonts w:ascii="Calibri" w:hAnsi="Calibri"/>
          <w:b w:val="0"/>
          <w:i w:val="0"/>
          <w:color w:val="111111"/>
          <w:sz w:val="22"/>
        </w:rPr>
        <w:t>Review this plan after exercises, material incidents, significant technology changes, or new obligations.</w:t>
      </w:r>
    </w:p>
    <w:p>
      <w:pPr>
        <w:pStyle w:val="ListBullet"/>
        <w:jc w:val="left"/>
      </w:pPr>
      <w:r>
        <w:rPr>
          <w:rFonts w:ascii="Calibri" w:hAnsi="Calibri"/>
          <w:b w:val="0"/>
          <w:i w:val="0"/>
          <w:color w:val="111111"/>
          <w:sz w:val="22"/>
        </w:rPr>
        <w:t>Retain plan approvals, exercise records, incident records, and remediation evidence according to Trainory's retention requirements.</w:t>
      </w:r>
    </w:p>
    <w:p>
      <w:pPr>
        <w:pStyle w:val="Heading1"/>
        <w:pageBreakBefore/>
      </w:pPr>
      <w:r>
        <w:t>Appendix A - Incident record template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shd w:fill="E8EEF5"/>
            <w:vAlign w:val="center"/>
            <w:tcMar>
              <w:top w:w="80" w:type="dxa"/>
              <w:start w:w="120" w:type="dxa"/>
              <w:bottom w:w="80" w:type="dxa"/>
              <w:end w:w="120" w:type="dxa"/>
            </w:tcMar>
          </w:tcPr>
          <w:p>
            <w:r/>
            <w:r>
              <w:rPr>
                <w:rFonts w:ascii="Calibri" w:hAnsi="Calibri"/>
                <w:b/>
                <w:i w:val="0"/>
                <w:color w:val="0B2545"/>
                <w:sz w:val="18"/>
              </w:rPr>
              <w:t>Field</w:t>
            </w:r>
          </w:p>
        </w:tc>
        <w:tc>
          <w:tcPr>
            <w:tcW w:type="dxa" w:w="6660"/>
            <w:shd w:fill="E8EEF5"/>
            <w:vAlign w:val="center"/>
            <w:tcMar>
              <w:top w:w="80" w:type="dxa"/>
              <w:start w:w="120" w:type="dxa"/>
              <w:bottom w:w="80" w:type="dxa"/>
              <w:end w:w="120" w:type="dxa"/>
            </w:tcMar>
          </w:tcPr>
          <w:p>
            <w:r/>
            <w:r>
              <w:rPr>
                <w:rFonts w:ascii="Calibri" w:hAnsi="Calibri"/>
                <w:b/>
                <w:i w:val="0"/>
                <w:color w:val="0B2545"/>
                <w:sz w:val="18"/>
              </w:rPr>
              <w:t>Required content</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b w:val="0"/>
                <w:i w:val="0"/>
                <w:color w:val="111111"/>
                <w:sz w:val="18"/>
              </w:rPr>
              <w:t>Incident ID / title</w:t>
            </w:r>
          </w:p>
        </w:tc>
        <w:tc>
          <w:tcPr>
            <w:tcW w:type="dxa" w:w="6660"/>
            <w:vAlign w:val="center"/>
            <w:tcMar>
              <w:top w:w="80" w:type="dxa"/>
              <w:start w:w="120" w:type="dxa"/>
              <w:bottom w:w="80" w:type="dxa"/>
              <w:end w:w="120" w:type="dxa"/>
            </w:tcMar>
          </w:tcPr>
          <w:p>
            <w:pPr>
              <w:spacing w:after="0" w:line="240" w:lineRule="auto"/>
            </w:pPr>
            <w:r/>
            <w:r>
              <w:rPr>
                <w:rFonts w:ascii="Calibri" w:hAnsi="Calibri"/>
                <w:b w:val="0"/>
                <w:i w:val="0"/>
                <w:color w:val="111111"/>
                <w:sz w:val="18"/>
              </w:rPr>
              <w:t>Unique identifier and concise description</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b w:val="0"/>
                <w:i w:val="0"/>
                <w:color w:val="111111"/>
                <w:sz w:val="18"/>
              </w:rPr>
              <w:t>Reported / detected</w:t>
            </w:r>
          </w:p>
        </w:tc>
        <w:tc>
          <w:tcPr>
            <w:tcW w:type="dxa" w:w="6660"/>
            <w:vAlign w:val="center"/>
            <w:tcMar>
              <w:top w:w="80" w:type="dxa"/>
              <w:start w:w="120" w:type="dxa"/>
              <w:bottom w:w="80" w:type="dxa"/>
              <w:end w:w="120" w:type="dxa"/>
            </w:tcMar>
          </w:tcPr>
          <w:p>
            <w:pPr>
              <w:spacing w:after="0" w:line="240" w:lineRule="auto"/>
            </w:pPr>
            <w:r/>
            <w:r>
              <w:rPr>
                <w:rFonts w:ascii="Calibri" w:hAnsi="Calibri"/>
                <w:b w:val="0"/>
                <w:i w:val="0"/>
                <w:color w:val="111111"/>
                <w:sz w:val="18"/>
              </w:rPr>
              <w:t>Date, time, source, and initial reporter</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b w:val="0"/>
                <w:i w:val="0"/>
                <w:color w:val="111111"/>
                <w:sz w:val="18"/>
              </w:rPr>
              <w:t>Incident Lead</w:t>
            </w:r>
          </w:p>
        </w:tc>
        <w:tc>
          <w:tcPr>
            <w:tcW w:type="dxa" w:w="6660"/>
            <w:vAlign w:val="center"/>
            <w:tcMar>
              <w:top w:w="80" w:type="dxa"/>
              <w:start w:w="120" w:type="dxa"/>
              <w:bottom w:w="80" w:type="dxa"/>
              <w:end w:w="120" w:type="dxa"/>
            </w:tcMar>
          </w:tcPr>
          <w:p>
            <w:pPr>
              <w:spacing w:after="0" w:line="240" w:lineRule="auto"/>
            </w:pPr>
            <w:r/>
            <w:r>
              <w:rPr>
                <w:rFonts w:ascii="Calibri" w:hAnsi="Calibri"/>
                <w:b w:val="0"/>
                <w:i w:val="0"/>
                <w:color w:val="111111"/>
                <w:sz w:val="18"/>
              </w:rPr>
              <w:t>Assigned coordinator and backup</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b w:val="0"/>
                <w:i w:val="0"/>
                <w:color w:val="111111"/>
                <w:sz w:val="18"/>
              </w:rPr>
              <w:t>Severity / status</w:t>
            </w:r>
          </w:p>
        </w:tc>
        <w:tc>
          <w:tcPr>
            <w:tcW w:type="dxa" w:w="6660"/>
            <w:vAlign w:val="center"/>
            <w:tcMar>
              <w:top w:w="80" w:type="dxa"/>
              <w:start w:w="120" w:type="dxa"/>
              <w:bottom w:w="80" w:type="dxa"/>
              <w:end w:w="120" w:type="dxa"/>
            </w:tcMar>
          </w:tcPr>
          <w:p>
            <w:pPr>
              <w:spacing w:after="0" w:line="240" w:lineRule="auto"/>
            </w:pPr>
            <w:r/>
            <w:r>
              <w:rPr>
                <w:rFonts w:ascii="Calibri" w:hAnsi="Calibri"/>
                <w:b w:val="0"/>
                <w:i w:val="0"/>
                <w:color w:val="111111"/>
                <w:sz w:val="18"/>
              </w:rPr>
              <w:t>Current classification, rationale, and state</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b w:val="0"/>
                <w:i w:val="0"/>
                <w:color w:val="111111"/>
                <w:sz w:val="18"/>
              </w:rPr>
              <w:t>Affected assets</w:t>
            </w:r>
          </w:p>
        </w:tc>
        <w:tc>
          <w:tcPr>
            <w:tcW w:type="dxa" w:w="6660"/>
            <w:vAlign w:val="center"/>
            <w:tcMar>
              <w:top w:w="80" w:type="dxa"/>
              <w:start w:w="120" w:type="dxa"/>
              <w:bottom w:w="80" w:type="dxa"/>
              <w:end w:w="120" w:type="dxa"/>
            </w:tcMar>
          </w:tcPr>
          <w:p>
            <w:pPr>
              <w:spacing w:after="0" w:line="240" w:lineRule="auto"/>
            </w:pPr>
            <w:r/>
            <w:r>
              <w:rPr>
                <w:rFonts w:ascii="Calibri" w:hAnsi="Calibri"/>
                <w:b w:val="0"/>
                <w:i w:val="0"/>
                <w:color w:val="111111"/>
                <w:sz w:val="18"/>
              </w:rPr>
              <w:t>Systems, accounts, vendors, locations, and Asset IDs</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b w:val="0"/>
                <w:i w:val="0"/>
                <w:color w:val="111111"/>
                <w:sz w:val="18"/>
              </w:rPr>
              <w:t>Related risks</w:t>
            </w:r>
          </w:p>
        </w:tc>
        <w:tc>
          <w:tcPr>
            <w:tcW w:type="dxa" w:w="6660"/>
            <w:vAlign w:val="center"/>
            <w:tcMar>
              <w:top w:w="80" w:type="dxa"/>
              <w:start w:w="120" w:type="dxa"/>
              <w:bottom w:w="80" w:type="dxa"/>
              <w:end w:w="120" w:type="dxa"/>
            </w:tcMar>
          </w:tcPr>
          <w:p>
            <w:pPr>
              <w:spacing w:after="0" w:line="240" w:lineRule="auto"/>
            </w:pPr>
            <w:r/>
            <w:r>
              <w:rPr>
                <w:rFonts w:ascii="Calibri" w:hAnsi="Calibri"/>
                <w:b w:val="0"/>
                <w:i w:val="0"/>
                <w:color w:val="111111"/>
                <w:sz w:val="18"/>
              </w:rPr>
              <w:t>Applicable Trainory Risk IDs</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b w:val="0"/>
                <w:i w:val="0"/>
                <w:color w:val="111111"/>
                <w:sz w:val="18"/>
              </w:rPr>
              <w:t>Data involved</w:t>
            </w:r>
          </w:p>
        </w:tc>
        <w:tc>
          <w:tcPr>
            <w:tcW w:type="dxa" w:w="6660"/>
            <w:vAlign w:val="center"/>
            <w:tcMar>
              <w:top w:w="80" w:type="dxa"/>
              <w:start w:w="120" w:type="dxa"/>
              <w:bottom w:w="80" w:type="dxa"/>
              <w:end w:w="120" w:type="dxa"/>
            </w:tcMar>
          </w:tcPr>
          <w:p>
            <w:pPr>
              <w:spacing w:after="0" w:line="240" w:lineRule="auto"/>
            </w:pPr>
            <w:r/>
            <w:r>
              <w:rPr>
                <w:rFonts w:ascii="Calibri" w:hAnsi="Calibri"/>
                <w:b w:val="0"/>
                <w:i w:val="0"/>
                <w:color w:val="111111"/>
                <w:sz w:val="18"/>
              </w:rPr>
              <w:t>Type, classification, volume, owners, and affected individuals</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b w:val="0"/>
                <w:i w:val="0"/>
                <w:color w:val="111111"/>
                <w:sz w:val="18"/>
              </w:rPr>
              <w:t>Timeline</w:t>
            </w:r>
          </w:p>
        </w:tc>
        <w:tc>
          <w:tcPr>
            <w:tcW w:type="dxa" w:w="6660"/>
            <w:vAlign w:val="center"/>
            <w:tcMar>
              <w:top w:w="80" w:type="dxa"/>
              <w:start w:w="120" w:type="dxa"/>
              <w:bottom w:w="80" w:type="dxa"/>
              <w:end w:w="120" w:type="dxa"/>
            </w:tcMar>
          </w:tcPr>
          <w:p>
            <w:pPr>
              <w:spacing w:after="0" w:line="240" w:lineRule="auto"/>
            </w:pPr>
            <w:r/>
            <w:r>
              <w:rPr>
                <w:rFonts w:ascii="Calibri" w:hAnsi="Calibri"/>
                <w:b w:val="0"/>
                <w:i w:val="0"/>
                <w:color w:val="111111"/>
                <w:sz w:val="18"/>
              </w:rPr>
              <w:t>Key observations, decisions, actions, approvals, and communications</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b w:val="0"/>
                <w:i w:val="0"/>
                <w:color w:val="111111"/>
                <w:sz w:val="18"/>
              </w:rPr>
              <w:t>Containment</w:t>
            </w:r>
          </w:p>
        </w:tc>
        <w:tc>
          <w:tcPr>
            <w:tcW w:type="dxa" w:w="6660"/>
            <w:vAlign w:val="center"/>
            <w:tcMar>
              <w:top w:w="80" w:type="dxa"/>
              <w:start w:w="120" w:type="dxa"/>
              <w:bottom w:w="80" w:type="dxa"/>
              <w:end w:w="120" w:type="dxa"/>
            </w:tcMar>
          </w:tcPr>
          <w:p>
            <w:pPr>
              <w:spacing w:after="0" w:line="240" w:lineRule="auto"/>
            </w:pPr>
            <w:r/>
            <w:r>
              <w:rPr>
                <w:rFonts w:ascii="Calibri" w:hAnsi="Calibri"/>
                <w:b w:val="0"/>
                <w:i w:val="0"/>
                <w:color w:val="111111"/>
                <w:sz w:val="18"/>
              </w:rPr>
              <w:t>Actions completed, owner, time, and business effect</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b w:val="0"/>
                <w:i w:val="0"/>
                <w:color w:val="111111"/>
                <w:sz w:val="18"/>
              </w:rPr>
              <w:t>Recovery validation</w:t>
            </w:r>
          </w:p>
        </w:tc>
        <w:tc>
          <w:tcPr>
            <w:tcW w:type="dxa" w:w="6660"/>
            <w:vAlign w:val="center"/>
            <w:tcMar>
              <w:top w:w="80" w:type="dxa"/>
              <w:start w:w="120" w:type="dxa"/>
              <w:bottom w:w="80" w:type="dxa"/>
              <w:end w:w="120" w:type="dxa"/>
            </w:tcMar>
          </w:tcPr>
          <w:p>
            <w:pPr>
              <w:spacing w:after="0" w:line="240" w:lineRule="auto"/>
            </w:pPr>
            <w:r/>
            <w:r>
              <w:rPr>
                <w:rFonts w:ascii="Calibri" w:hAnsi="Calibri"/>
                <w:b w:val="0"/>
                <w:i w:val="0"/>
                <w:color w:val="111111"/>
                <w:sz w:val="18"/>
              </w:rPr>
              <w:t>Security, functionality, integrity, monitoring, and owner approval</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b w:val="0"/>
                <w:i w:val="0"/>
                <w:color w:val="111111"/>
                <w:sz w:val="18"/>
              </w:rPr>
              <w:t>Notifications</w:t>
            </w:r>
          </w:p>
        </w:tc>
        <w:tc>
          <w:tcPr>
            <w:tcW w:type="dxa" w:w="6660"/>
            <w:vAlign w:val="center"/>
            <w:tcMar>
              <w:top w:w="80" w:type="dxa"/>
              <w:start w:w="120" w:type="dxa"/>
              <w:bottom w:w="80" w:type="dxa"/>
              <w:end w:w="120" w:type="dxa"/>
            </w:tcMar>
          </w:tcPr>
          <w:p>
            <w:pPr>
              <w:spacing w:after="0" w:line="240" w:lineRule="auto"/>
            </w:pPr>
            <w:r/>
            <w:r>
              <w:rPr>
                <w:rFonts w:ascii="Calibri" w:hAnsi="Calibri"/>
                <w:b w:val="0"/>
                <w:i w:val="0"/>
                <w:color w:val="111111"/>
                <w:sz w:val="18"/>
              </w:rPr>
              <w:t>Internal and external decisions, approvers, recipients, and times</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b w:val="0"/>
                <w:i w:val="0"/>
                <w:color w:val="111111"/>
                <w:sz w:val="18"/>
              </w:rPr>
              <w:t>Lessons / actions</w:t>
            </w:r>
          </w:p>
        </w:tc>
        <w:tc>
          <w:tcPr>
            <w:tcW w:type="dxa" w:w="6660"/>
            <w:vAlign w:val="center"/>
            <w:tcMar>
              <w:top w:w="80" w:type="dxa"/>
              <w:start w:w="120" w:type="dxa"/>
              <w:bottom w:w="80" w:type="dxa"/>
              <w:end w:w="120" w:type="dxa"/>
            </w:tcMar>
          </w:tcPr>
          <w:p>
            <w:pPr>
              <w:spacing w:after="0" w:line="240" w:lineRule="auto"/>
            </w:pPr>
            <w:r/>
            <w:r>
              <w:rPr>
                <w:rFonts w:ascii="Calibri" w:hAnsi="Calibri"/>
                <w:b w:val="0"/>
                <w:i w:val="0"/>
                <w:color w:val="111111"/>
                <w:sz w:val="18"/>
              </w:rPr>
              <w:t>Root cause, control gaps, owners, due dates, and completion evidence</w:t>
            </w:r>
          </w:p>
        </w:tc>
      </w:tr>
    </w:tbl>
    <w:p>
      <w:pPr>
        <w:pStyle w:val="Heading1"/>
      </w:pPr>
      <w:r>
        <w:t>Appendix B - Framework alignment</w:t>
      </w:r>
    </w:p>
    <w:tbl>
      <w:tblPr>
        <w:tblStyle w:val="TableGrid"/>
        <w:tblW w:type="dxa" w:w="9360"/>
        <w:jc w:val="left"/>
        <w:tblLayout w:type="fixed"/>
        <w:tblLook w:firstColumn="1" w:firstRow="1" w:lastColumn="0" w:lastRow="0" w:noHBand="0" w:noVBand="1" w:val="04A0"/>
        <w:tblInd w:w="120" w:type="dxa"/>
      </w:tblPr>
      <w:tblGrid>
        <w:gridCol w:w="2500"/>
        <w:gridCol w:w="2300"/>
        <w:gridCol w:w="4560"/>
      </w:tblGrid>
      <w:tr>
        <w:trPr>
          <w:cantSplit/>
        </w:trPr>
        <w:tc>
          <w:tcPr>
            <w:tcW w:type="dxa" w:w="2500"/>
            <w:shd w:fill="E8EEF5"/>
            <w:vAlign w:val="center"/>
            <w:tcMar>
              <w:top w:w="80" w:type="dxa"/>
              <w:start w:w="120" w:type="dxa"/>
              <w:bottom w:w="80" w:type="dxa"/>
              <w:end w:w="120" w:type="dxa"/>
            </w:tcMar>
          </w:tcPr>
          <w:p>
            <w:r/>
            <w:r>
              <w:rPr>
                <w:rFonts w:ascii="Calibri" w:hAnsi="Calibri"/>
                <w:b/>
                <w:i w:val="0"/>
                <w:color w:val="0B2545"/>
                <w:sz w:val="18"/>
              </w:rPr>
              <w:t>Reference</w:t>
            </w:r>
          </w:p>
        </w:tc>
        <w:tc>
          <w:tcPr>
            <w:tcW w:type="dxa" w:w="2300"/>
            <w:shd w:fill="E8EEF5"/>
            <w:vAlign w:val="center"/>
            <w:tcMar>
              <w:top w:w="80" w:type="dxa"/>
              <w:start w:w="120" w:type="dxa"/>
              <w:bottom w:w="80" w:type="dxa"/>
              <w:end w:w="120" w:type="dxa"/>
            </w:tcMar>
          </w:tcPr>
          <w:p>
            <w:r/>
            <w:r>
              <w:rPr>
                <w:rFonts w:ascii="Calibri" w:hAnsi="Calibri"/>
                <w:b/>
                <w:i w:val="0"/>
                <w:color w:val="0B2545"/>
                <w:sz w:val="18"/>
              </w:rPr>
              <w:t>Topic</w:t>
            </w:r>
          </w:p>
        </w:tc>
        <w:tc>
          <w:tcPr>
            <w:tcW w:type="dxa" w:w="4560"/>
            <w:shd w:fill="E8EEF5"/>
            <w:vAlign w:val="center"/>
            <w:tcMar>
              <w:top w:w="80" w:type="dxa"/>
              <w:start w:w="120" w:type="dxa"/>
              <w:bottom w:w="80" w:type="dxa"/>
              <w:end w:w="120" w:type="dxa"/>
            </w:tcMar>
          </w:tcPr>
          <w:p>
            <w:r/>
            <w:r>
              <w:rPr>
                <w:rFonts w:ascii="Calibri" w:hAnsi="Calibri"/>
                <w:b/>
                <w:i w:val="0"/>
                <w:color w:val="0B2545"/>
                <w:sz w:val="18"/>
              </w:rPr>
              <w:t>How this plan supports it</w:t>
            </w:r>
          </w:p>
        </w:tc>
      </w:tr>
      <w:tr>
        <w:trPr>
          <w:cantSplit/>
        </w:trPr>
        <w:tc>
          <w:tcPr>
            <w:tcW w:type="dxa" w:w="2500"/>
            <w:vAlign w:val="center"/>
            <w:tcMar>
              <w:top w:w="80" w:type="dxa"/>
              <w:start w:w="120" w:type="dxa"/>
              <w:bottom w:w="80" w:type="dxa"/>
              <w:end w:w="120" w:type="dxa"/>
            </w:tcMar>
          </w:tcPr>
          <w:p>
            <w:pPr>
              <w:spacing w:after="0" w:line="240" w:lineRule="auto"/>
            </w:pPr>
            <w:r/>
            <w:r>
              <w:rPr>
                <w:rFonts w:ascii="Calibri" w:hAnsi="Calibri"/>
                <w:b w:val="0"/>
                <w:i w:val="0"/>
                <w:color w:val="111111"/>
                <w:sz w:val="18"/>
              </w:rPr>
              <w:t>NIST CSF 2.0 RS.MA-01</w:t>
            </w:r>
          </w:p>
        </w:tc>
        <w:tc>
          <w:tcPr>
            <w:tcW w:type="dxa" w:w="2300"/>
            <w:vAlign w:val="center"/>
            <w:tcMar>
              <w:top w:w="80" w:type="dxa"/>
              <w:start w:w="120" w:type="dxa"/>
              <w:bottom w:w="80" w:type="dxa"/>
              <w:end w:w="120" w:type="dxa"/>
            </w:tcMar>
          </w:tcPr>
          <w:p>
            <w:pPr>
              <w:spacing w:after="0" w:line="240" w:lineRule="auto"/>
            </w:pPr>
            <w:r/>
            <w:r>
              <w:rPr>
                <w:rFonts w:ascii="Calibri" w:hAnsi="Calibri"/>
                <w:b w:val="0"/>
                <w:i w:val="0"/>
                <w:color w:val="111111"/>
                <w:sz w:val="18"/>
              </w:rPr>
              <w:t>Incident management</w:t>
            </w:r>
          </w:p>
        </w:tc>
        <w:tc>
          <w:tcPr>
            <w:tcW w:type="dxa" w:w="4560"/>
            <w:vAlign w:val="center"/>
            <w:tcMar>
              <w:top w:w="80" w:type="dxa"/>
              <w:start w:w="120" w:type="dxa"/>
              <w:bottom w:w="80" w:type="dxa"/>
              <w:end w:w="120" w:type="dxa"/>
            </w:tcMar>
          </w:tcPr>
          <w:p>
            <w:pPr>
              <w:spacing w:after="0" w:line="240" w:lineRule="auto"/>
            </w:pPr>
            <w:r/>
            <w:r>
              <w:rPr>
                <w:rFonts w:ascii="Calibri" w:hAnsi="Calibri"/>
                <w:b w:val="0"/>
                <w:i w:val="0"/>
                <w:color w:val="111111"/>
                <w:sz w:val="18"/>
              </w:rPr>
              <w:t>Defines declaration, severity, ownership, execution, and documentation.</w:t>
            </w:r>
          </w:p>
        </w:tc>
      </w:tr>
      <w:tr>
        <w:trPr>
          <w:cantSplit/>
        </w:trPr>
        <w:tc>
          <w:tcPr>
            <w:tcW w:type="dxa" w:w="2500"/>
            <w:vAlign w:val="center"/>
            <w:tcMar>
              <w:top w:w="80" w:type="dxa"/>
              <w:start w:w="120" w:type="dxa"/>
              <w:bottom w:w="80" w:type="dxa"/>
              <w:end w:w="120" w:type="dxa"/>
            </w:tcMar>
          </w:tcPr>
          <w:p>
            <w:pPr>
              <w:spacing w:after="0" w:line="240" w:lineRule="auto"/>
            </w:pPr>
            <w:r/>
            <w:r>
              <w:rPr>
                <w:rFonts w:ascii="Calibri" w:hAnsi="Calibri"/>
                <w:b w:val="0"/>
                <w:i w:val="0"/>
                <w:color w:val="111111"/>
                <w:sz w:val="18"/>
              </w:rPr>
              <w:t>NIST CSF 2.0 RC.RP-01</w:t>
            </w:r>
          </w:p>
        </w:tc>
        <w:tc>
          <w:tcPr>
            <w:tcW w:type="dxa" w:w="2300"/>
            <w:vAlign w:val="center"/>
            <w:tcMar>
              <w:top w:w="80" w:type="dxa"/>
              <w:start w:w="120" w:type="dxa"/>
              <w:bottom w:w="80" w:type="dxa"/>
              <w:end w:w="120" w:type="dxa"/>
            </w:tcMar>
          </w:tcPr>
          <w:p>
            <w:pPr>
              <w:spacing w:after="0" w:line="240" w:lineRule="auto"/>
            </w:pPr>
            <w:r/>
            <w:r>
              <w:rPr>
                <w:rFonts w:ascii="Calibri" w:hAnsi="Calibri"/>
                <w:b w:val="0"/>
                <w:i w:val="0"/>
                <w:color w:val="111111"/>
                <w:sz w:val="18"/>
              </w:rPr>
              <w:t>Recovery execution</w:t>
            </w:r>
          </w:p>
        </w:tc>
        <w:tc>
          <w:tcPr>
            <w:tcW w:type="dxa" w:w="4560"/>
            <w:vAlign w:val="center"/>
            <w:tcMar>
              <w:top w:w="80" w:type="dxa"/>
              <w:start w:w="120" w:type="dxa"/>
              <w:bottom w:w="80" w:type="dxa"/>
              <w:end w:w="120" w:type="dxa"/>
            </w:tcMar>
          </w:tcPr>
          <w:p>
            <w:pPr>
              <w:spacing w:after="0" w:line="240" w:lineRule="auto"/>
            </w:pPr>
            <w:r/>
            <w:r>
              <w:rPr>
                <w:rFonts w:ascii="Calibri" w:hAnsi="Calibri"/>
                <w:b w:val="0"/>
                <w:i w:val="0"/>
                <w:color w:val="111111"/>
                <w:sz w:val="18"/>
              </w:rPr>
              <w:t>Defines restoration, validation, approval, monitoring, and remaining-risk tracking.</w:t>
            </w:r>
          </w:p>
        </w:tc>
      </w:tr>
      <w:tr>
        <w:trPr>
          <w:cantSplit/>
        </w:trPr>
        <w:tc>
          <w:tcPr>
            <w:tcW w:type="dxa" w:w="2500"/>
            <w:vAlign w:val="center"/>
            <w:tcMar>
              <w:top w:w="80" w:type="dxa"/>
              <w:start w:w="120" w:type="dxa"/>
              <w:bottom w:w="80" w:type="dxa"/>
              <w:end w:w="120" w:type="dxa"/>
            </w:tcMar>
          </w:tcPr>
          <w:p>
            <w:pPr>
              <w:spacing w:after="0" w:line="240" w:lineRule="auto"/>
            </w:pPr>
            <w:r/>
            <w:r>
              <w:rPr>
                <w:rFonts w:ascii="Calibri" w:hAnsi="Calibri"/>
                <w:b w:val="0"/>
                <w:i w:val="0"/>
                <w:color w:val="111111"/>
                <w:sz w:val="18"/>
              </w:rPr>
              <w:t>NIST SP 800-61 Rev. 3</w:t>
            </w:r>
          </w:p>
        </w:tc>
        <w:tc>
          <w:tcPr>
            <w:tcW w:type="dxa" w:w="2300"/>
            <w:vAlign w:val="center"/>
            <w:tcMar>
              <w:top w:w="80" w:type="dxa"/>
              <w:start w:w="120" w:type="dxa"/>
              <w:bottom w:w="80" w:type="dxa"/>
              <w:end w:w="120" w:type="dxa"/>
            </w:tcMar>
          </w:tcPr>
          <w:p>
            <w:pPr>
              <w:spacing w:after="0" w:line="240" w:lineRule="auto"/>
            </w:pPr>
            <w:r/>
            <w:r>
              <w:rPr>
                <w:rFonts w:ascii="Calibri" w:hAnsi="Calibri"/>
                <w:b w:val="0"/>
                <w:i w:val="0"/>
                <w:color w:val="111111"/>
                <w:sz w:val="18"/>
              </w:rPr>
              <w:t>Incident response</w:t>
            </w:r>
          </w:p>
        </w:tc>
        <w:tc>
          <w:tcPr>
            <w:tcW w:type="dxa" w:w="4560"/>
            <w:vAlign w:val="center"/>
            <w:tcMar>
              <w:top w:w="80" w:type="dxa"/>
              <w:start w:w="120" w:type="dxa"/>
              <w:bottom w:w="80" w:type="dxa"/>
              <w:end w:w="120" w:type="dxa"/>
            </w:tcMar>
          </w:tcPr>
          <w:p>
            <w:pPr>
              <w:spacing w:after="0" w:line="240" w:lineRule="auto"/>
            </w:pPr>
            <w:r/>
            <w:r>
              <w:rPr>
                <w:rFonts w:ascii="Calibri" w:hAnsi="Calibri"/>
                <w:b w:val="0"/>
                <w:i w:val="0"/>
                <w:color w:val="111111"/>
                <w:sz w:val="18"/>
              </w:rPr>
              <w:t>Integrates preparation, detection, response, recovery, and improvement with cybersecurity risk management.</w:t>
            </w:r>
          </w:p>
        </w:tc>
      </w:tr>
      <w:tr>
        <w:trPr>
          <w:cantSplit/>
        </w:trPr>
        <w:tc>
          <w:tcPr>
            <w:tcW w:type="dxa" w:w="2500"/>
            <w:vAlign w:val="center"/>
            <w:tcMar>
              <w:top w:w="80" w:type="dxa"/>
              <w:start w:w="120" w:type="dxa"/>
              <w:bottom w:w="80" w:type="dxa"/>
              <w:end w:w="120" w:type="dxa"/>
            </w:tcMar>
          </w:tcPr>
          <w:p>
            <w:pPr>
              <w:spacing w:after="0" w:line="240" w:lineRule="auto"/>
            </w:pPr>
            <w:r/>
            <w:r>
              <w:rPr>
                <w:rFonts w:ascii="Calibri" w:hAnsi="Calibri"/>
                <w:b w:val="0"/>
                <w:i w:val="0"/>
                <w:color w:val="111111"/>
                <w:sz w:val="18"/>
              </w:rPr>
              <w:t>Trainory risks</w:t>
            </w:r>
          </w:p>
        </w:tc>
        <w:tc>
          <w:tcPr>
            <w:tcW w:type="dxa" w:w="2300"/>
            <w:vAlign w:val="center"/>
            <w:tcMar>
              <w:top w:w="80" w:type="dxa"/>
              <w:start w:w="120" w:type="dxa"/>
              <w:bottom w:w="80" w:type="dxa"/>
              <w:end w:w="120" w:type="dxa"/>
            </w:tcMar>
          </w:tcPr>
          <w:p>
            <w:pPr>
              <w:spacing w:after="0" w:line="240" w:lineRule="auto"/>
            </w:pPr>
            <w:r/>
            <w:r>
              <w:rPr>
                <w:rFonts w:ascii="Calibri" w:hAnsi="Calibri"/>
                <w:b w:val="0"/>
                <w:i w:val="0"/>
                <w:color w:val="111111"/>
                <w:sz w:val="18"/>
              </w:rPr>
              <w:t>Risk treatment</w:t>
            </w:r>
          </w:p>
        </w:tc>
        <w:tc>
          <w:tcPr>
            <w:tcW w:type="dxa" w:w="4560"/>
            <w:vAlign w:val="center"/>
            <w:tcMar>
              <w:top w:w="80" w:type="dxa"/>
              <w:start w:w="120" w:type="dxa"/>
              <w:bottom w:w="80" w:type="dxa"/>
              <w:end w:w="120" w:type="dxa"/>
            </w:tcMar>
          </w:tcPr>
          <w:p>
            <w:pPr>
              <w:spacing w:after="0" w:line="240" w:lineRule="auto"/>
            </w:pPr>
            <w:r/>
            <w:r>
              <w:rPr>
                <w:rFonts w:ascii="Calibri" w:hAnsi="Calibri"/>
                <w:b w:val="0"/>
                <w:i w:val="0"/>
                <w:color w:val="111111"/>
                <w:sz w:val="18"/>
              </w:rPr>
              <w:t>Addresses TRN-R001, R002, R005, R007-R013, and R015 through scenario-specific response actions.</w:t>
            </w:r>
          </w:p>
        </w:tc>
      </w:tr>
    </w:tbl>
    <w:p>
      <w:pPr>
        <w:pStyle w:val="Heading1"/>
      </w:pPr>
      <w:r>
        <w:t>References</w:t>
      </w:r>
    </w:p>
    <w:p>
      <w:pPr>
        <w:keepNext w:val="0"/>
        <w:spacing w:before="0" w:after="80" w:line="264" w:lineRule="auto"/>
        <w:jc w:val="left"/>
      </w:pPr>
      <w:r>
        <w:rPr>
          <w:rFonts w:ascii="Calibri" w:hAnsi="Calibri"/>
          <w:b w:val="0"/>
          <w:i w:val="0"/>
          <w:color w:val="111111"/>
          <w:sz w:val="22"/>
        </w:rPr>
        <w:t>National Institute of Standards and Technology, Cybersecurity Framework 2.0: https://www.nist.gov/cyberframework</w:t>
      </w:r>
    </w:p>
    <w:p>
      <w:pPr>
        <w:keepNext w:val="0"/>
        <w:spacing w:before="0" w:after="80" w:line="264" w:lineRule="auto"/>
        <w:jc w:val="left"/>
      </w:pPr>
      <w:r>
        <w:rPr>
          <w:rFonts w:ascii="Calibri" w:hAnsi="Calibri"/>
          <w:b w:val="0"/>
          <w:i w:val="0"/>
          <w:color w:val="111111"/>
          <w:sz w:val="22"/>
        </w:rPr>
        <w:t>National Institute of Standards and Technology, SP 800-61 Rev. 3, Incident Response Recommendations and Considerations for Cybersecurity Risk Management: https://csrc.nist.gov/pubs/sp/800/61/r3/final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B6573"/>
        <w:sz w:val="16"/>
      </w:rPr>
      <w:t>Incident Response Plan  |  Fictional portfolio company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B6573"/>
        <w:sz w:val="16"/>
      </w:rPr>
      <w:t>TRAINORY  |  INFORMATION SECURITY GOVERNANCE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Trainory Incident Response Plan</dc:title>
  <dc:subject>Fictional GRC portfolio artifact</dc:subject>
  <dc:creator>Trainory Cybersecurity and Compliance</dc:creator>
  <cp:keywords>GRC, incident response, NIST CSF 2.0, cybersecurity, Trainory</cp:keywords>
  <dc:description>generated by python-docx</dc:description>
  <cp:lastModifiedBy/>
  <cp:revision>1</cp:revision>
  <dcterms:created xsi:type="dcterms:W3CDTF">2013-12-23T23:15:00Z</dcterms:created>
  <dcterms:modified xsi:type="dcterms:W3CDTF">2013-12-23T23:15:00Z</dcterms:modified>
  <cp:category/>
</cp:coreProperties>
</file>