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2A167E" w14:textId="77777777" w:rsidR="00B27370" w:rsidRDefault="00B27370">
      <w:bookmarkStart w:id="0" w:name="_Hlk159953181"/>
      <w:bookmarkStart w:id="1" w:name="OLE_LINK6"/>
      <w:bookmarkStart w:id="2" w:name="OLE_LINK7"/>
      <w:bookmarkStart w:id="3" w:name="OLE_LINK8"/>
      <w:bookmarkStart w:id="4" w:name="OLE_LINK9"/>
      <w:bookmarkStart w:id="5" w:name="OLE_LINK10"/>
      <w:bookmarkStart w:id="6" w:name="OLE_LINK11"/>
      <w:bookmarkStart w:id="7" w:name="OLE_LINK12"/>
      <w:bookmarkEnd w:id="0"/>
    </w:p>
    <w:p w14:paraId="0AB98519" w14:textId="77777777" w:rsidR="00100374" w:rsidRDefault="00100374"/>
    <w:p w14:paraId="2636BAED" w14:textId="77777777" w:rsidR="00CE1B79" w:rsidRDefault="00CE1B79"/>
    <w:p w14:paraId="52B33738" w14:textId="77777777" w:rsidR="00CE1B79" w:rsidRPr="00C60313" w:rsidRDefault="00CE1B79"/>
    <w:p w14:paraId="24ADD93C" w14:textId="61C23143" w:rsidR="00B27370" w:rsidRPr="00C60313" w:rsidRDefault="00100374" w:rsidP="00100374">
      <w:pPr>
        <w:jc w:val="center"/>
      </w:pPr>
      <w:r>
        <w:rPr>
          <w:noProof/>
          <w14:ligatures w14:val="standardContextual"/>
        </w:rPr>
        <w:drawing>
          <wp:inline distT="0" distB="0" distL="0" distR="0" wp14:anchorId="71E8B06D" wp14:editId="07452E20">
            <wp:extent cx="2272420" cy="2272420"/>
            <wp:effectExtent l="0" t="0" r="1270" b="1270"/>
            <wp:docPr id="125013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133525" name="Picture 125013352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3676" cy="2273676"/>
                    </a:xfrm>
                    <a:prstGeom prst="rect">
                      <a:avLst/>
                    </a:prstGeom>
                  </pic:spPr>
                </pic:pic>
              </a:graphicData>
            </a:graphic>
          </wp:inline>
        </w:drawing>
      </w:r>
    </w:p>
    <w:p w14:paraId="3C739735" w14:textId="77777777" w:rsidR="00B27370" w:rsidRPr="00C60313" w:rsidRDefault="00B27370"/>
    <w:p w14:paraId="397C9FE0" w14:textId="77777777" w:rsidR="00B27370" w:rsidRPr="00C60313" w:rsidRDefault="00B27370"/>
    <w:p w14:paraId="047655F8" w14:textId="3BB4704A" w:rsidR="006D4BA2" w:rsidRDefault="001D7156" w:rsidP="001D7156">
      <w:pPr>
        <w:jc w:val="center"/>
        <w:rPr>
          <w:b/>
          <w:bCs/>
        </w:rPr>
      </w:pPr>
      <w:r w:rsidRPr="001D7156">
        <w:rPr>
          <w:b/>
          <w:bCs/>
        </w:rPr>
        <w:t xml:space="preserve">Project </w:t>
      </w:r>
      <w:r w:rsidR="00432673">
        <w:rPr>
          <w:b/>
          <w:bCs/>
        </w:rPr>
        <w:t>3</w:t>
      </w:r>
    </w:p>
    <w:p w14:paraId="43F52B89" w14:textId="6F5F84E7" w:rsidR="002B2B9E" w:rsidRPr="00D17D1D" w:rsidRDefault="00432673" w:rsidP="001D7156">
      <w:pPr>
        <w:jc w:val="center"/>
        <w:rPr>
          <w:b/>
          <w:bCs/>
        </w:rPr>
      </w:pPr>
      <w:r>
        <w:rPr>
          <w:b/>
          <w:bCs/>
        </w:rPr>
        <w:t>Forecasting a Time Series</w:t>
      </w:r>
    </w:p>
    <w:p w14:paraId="6BABD090" w14:textId="77777777" w:rsidR="00D17D1D" w:rsidRPr="00C60313" w:rsidRDefault="00D17D1D" w:rsidP="001D7156">
      <w:pPr>
        <w:jc w:val="center"/>
      </w:pPr>
    </w:p>
    <w:p w14:paraId="22E3A7FE" w14:textId="1E008569" w:rsidR="00B27370" w:rsidRDefault="001D7156" w:rsidP="001D7156">
      <w:pPr>
        <w:jc w:val="center"/>
      </w:pPr>
      <w:r>
        <w:t>Sanchi Gupta</w:t>
      </w:r>
    </w:p>
    <w:p w14:paraId="3054936B" w14:textId="177D1F68" w:rsidR="001D7156" w:rsidRDefault="001D7156" w:rsidP="001D7156">
      <w:pPr>
        <w:jc w:val="center"/>
      </w:pPr>
      <w:r>
        <w:t>College of Professional Studies, Northeastern University Boston</w:t>
      </w:r>
    </w:p>
    <w:p w14:paraId="47256B45" w14:textId="5F948C0B" w:rsidR="001D7156" w:rsidRDefault="001D7156" w:rsidP="001D7156">
      <w:pPr>
        <w:jc w:val="center"/>
      </w:pPr>
      <w:r w:rsidRPr="00C60313">
        <w:t>ALY60</w:t>
      </w:r>
      <w:r w:rsidR="00D17D1D">
        <w:t>50</w:t>
      </w:r>
      <w:r>
        <w:t xml:space="preserve">: Introduction to </w:t>
      </w:r>
      <w:r w:rsidR="00D17D1D">
        <w:t xml:space="preserve">Enterprise </w:t>
      </w:r>
      <w:r>
        <w:t>Analytics</w:t>
      </w:r>
    </w:p>
    <w:p w14:paraId="0C0F194E" w14:textId="77777777" w:rsidR="001D7156" w:rsidRDefault="001D7156" w:rsidP="001D7156">
      <w:pPr>
        <w:jc w:val="center"/>
      </w:pPr>
    </w:p>
    <w:p w14:paraId="5814BDB2" w14:textId="6AB699B4" w:rsidR="001D7156" w:rsidRPr="008B5C0D" w:rsidRDefault="001D7156" w:rsidP="001D7156">
      <w:pPr>
        <w:jc w:val="center"/>
      </w:pPr>
      <w:r w:rsidRPr="008B5C0D">
        <w:t>Prof</w:t>
      </w:r>
      <w:r w:rsidR="008B5C0D" w:rsidRPr="008B5C0D">
        <w:t xml:space="preserve">essor </w:t>
      </w:r>
      <w:r w:rsidR="00D17D1D">
        <w:t>Roy Wada</w:t>
      </w:r>
    </w:p>
    <w:p w14:paraId="1CF6E7C0" w14:textId="77777777" w:rsidR="001D7156" w:rsidRPr="00C60313" w:rsidRDefault="001D7156" w:rsidP="001D7156">
      <w:pPr>
        <w:jc w:val="center"/>
      </w:pPr>
    </w:p>
    <w:p w14:paraId="12B073C6" w14:textId="0E564E59" w:rsidR="00B27370" w:rsidRPr="00C60313" w:rsidRDefault="00614709" w:rsidP="001D7156">
      <w:pPr>
        <w:jc w:val="center"/>
      </w:pPr>
      <w:r>
        <w:t>March</w:t>
      </w:r>
      <w:r w:rsidR="008B5C0D">
        <w:t xml:space="preserve"> </w:t>
      </w:r>
      <w:r w:rsidR="00432673">
        <w:t>12</w:t>
      </w:r>
      <w:r w:rsidR="008B5C0D">
        <w:t xml:space="preserve">, </w:t>
      </w:r>
      <w:r w:rsidR="00B27370" w:rsidRPr="00C60313">
        <w:t>202</w:t>
      </w:r>
      <w:r w:rsidR="00D17D1D">
        <w:t>4</w:t>
      </w:r>
    </w:p>
    <w:p w14:paraId="165624C3" w14:textId="77777777" w:rsidR="00B27370" w:rsidRPr="00C60313" w:rsidRDefault="00B27370" w:rsidP="001D7156">
      <w:pPr>
        <w:jc w:val="center"/>
      </w:pPr>
    </w:p>
    <w:p w14:paraId="47EFA9EF" w14:textId="64ED1F0C" w:rsidR="001542C3" w:rsidRPr="00117062" w:rsidRDefault="008B5C0D" w:rsidP="00117062">
      <w:pPr>
        <w:spacing w:before="240" w:after="240"/>
      </w:pPr>
      <w:r>
        <w:br w:type="page"/>
      </w:r>
    </w:p>
    <w:p w14:paraId="132E52C9" w14:textId="0A775B8B" w:rsidR="001542C3" w:rsidRPr="001542C3" w:rsidRDefault="00B27370" w:rsidP="00823B81">
      <w:pPr>
        <w:rPr>
          <w:b/>
          <w:bCs/>
          <w:color w:val="000000" w:themeColor="text1"/>
          <w:sz w:val="28"/>
          <w:szCs w:val="28"/>
          <w:u w:val="single"/>
        </w:rPr>
      </w:pPr>
      <w:r w:rsidRPr="00E75682">
        <w:rPr>
          <w:b/>
          <w:bCs/>
          <w:color w:val="000000" w:themeColor="text1"/>
          <w:sz w:val="28"/>
          <w:szCs w:val="28"/>
          <w:u w:val="single"/>
        </w:rPr>
        <w:lastRenderedPageBreak/>
        <w:t>Introduction</w:t>
      </w:r>
    </w:p>
    <w:p w14:paraId="23D65CCE" w14:textId="2660EDB8" w:rsidR="008A3B7C" w:rsidRPr="00611E12" w:rsidRDefault="00514ED4" w:rsidP="0082765A">
      <w:pPr>
        <w:jc w:val="both"/>
      </w:pPr>
      <w:r>
        <w:t xml:space="preserve">Time series forecasting is an essential tool for analyzing historical data and predicting future trends in various fields. This report details a time series analysis performed using </w:t>
      </w:r>
      <w:r>
        <w:t xml:space="preserve">Excel and </w:t>
      </w:r>
      <w:r>
        <w:t>R to study the stock prices of Honeywell International Inc. (HON) and Apple Inc. (AAPL) over five years, as well as the prices of dry wine from the "dry_wine.csv" dataset.</w:t>
      </w:r>
      <w:r>
        <w:t xml:space="preserve"> </w:t>
      </w:r>
      <w:r w:rsidR="006331B9">
        <w:t>Th</w:t>
      </w:r>
      <w:r>
        <w:t>e</w:t>
      </w:r>
      <w:r w:rsidR="006331B9">
        <w:t xml:space="preserve"> report provides an analytical forecast of AAPL and HON stock prices over a short-term period, utilizing simple line plots and exponential smoothing techniques. The analysis identifies seasonality, trend, and irregularity in the historical stock price movements and determines the optimal smoothing parameters for accurate forecasting.</w:t>
      </w:r>
      <w:r w:rsidR="0082765A">
        <w:t xml:space="preserve"> </w:t>
      </w:r>
      <w:r w:rsidR="0082765A">
        <w:t>By adapting the analysis to the unique attributes of each dataset—such as seasonality, volatility, and trend behaviors—the objective is to extract the most accurate forecast models for each time series, providing valuable insights for investors and analysts.</w:t>
      </w:r>
    </w:p>
    <w:p w14:paraId="72AD088D" w14:textId="77777777" w:rsidR="001542C3" w:rsidRDefault="001542C3" w:rsidP="00100374">
      <w:pPr>
        <w:rPr>
          <w:color w:val="000000" w:themeColor="text1"/>
        </w:rPr>
      </w:pPr>
    </w:p>
    <w:p w14:paraId="75D8FF82" w14:textId="77777777" w:rsidR="00AC77A2" w:rsidRDefault="00AC77A2" w:rsidP="00100374">
      <w:pPr>
        <w:rPr>
          <w:color w:val="000000" w:themeColor="text1"/>
        </w:rPr>
      </w:pPr>
    </w:p>
    <w:p w14:paraId="43314655" w14:textId="77777777" w:rsidR="00AC77A2" w:rsidRPr="0051288E" w:rsidRDefault="00AC77A2" w:rsidP="00100374">
      <w:pPr>
        <w:rPr>
          <w:color w:val="000000" w:themeColor="text1"/>
        </w:rPr>
      </w:pPr>
    </w:p>
    <w:p w14:paraId="63C20C42" w14:textId="265D3AF0" w:rsidR="00AC77A2" w:rsidRPr="0086672C" w:rsidRDefault="008A3B7C" w:rsidP="008A3B7C">
      <w:pPr>
        <w:rPr>
          <w:b/>
          <w:bCs/>
          <w:color w:val="000000" w:themeColor="text1"/>
          <w:sz w:val="28"/>
          <w:szCs w:val="28"/>
          <w:u w:val="single"/>
        </w:rPr>
      </w:pPr>
      <w:r w:rsidRPr="0086672C">
        <w:rPr>
          <w:b/>
          <w:bCs/>
          <w:color w:val="000000" w:themeColor="text1"/>
          <w:sz w:val="28"/>
          <w:szCs w:val="28"/>
          <w:u w:val="single"/>
        </w:rPr>
        <w:t>Analysis</w:t>
      </w:r>
    </w:p>
    <w:p w14:paraId="5763B825" w14:textId="50BD8910" w:rsidR="001542C3" w:rsidRDefault="008A3B7C" w:rsidP="00F6777D">
      <w:pPr>
        <w:rPr>
          <w:b/>
          <w:bCs/>
          <w:color w:val="000000" w:themeColor="text1"/>
          <w:u w:val="single"/>
        </w:rPr>
      </w:pPr>
      <w:bookmarkStart w:id="8" w:name="OLE_LINK1"/>
      <w:bookmarkStart w:id="9" w:name="OLE_LINK2"/>
      <w:bookmarkStart w:id="10" w:name="OLE_LINK3"/>
      <w:bookmarkStart w:id="11" w:name="OLE_LINK4"/>
      <w:bookmarkStart w:id="12" w:name="OLE_LINK5"/>
      <w:r w:rsidRPr="00D82628">
        <w:rPr>
          <w:b/>
          <w:bCs/>
          <w:color w:val="000000" w:themeColor="text1"/>
          <w:highlight w:val="yellow"/>
          <w:u w:val="single"/>
        </w:rPr>
        <w:t>Part</w:t>
      </w:r>
      <w:r w:rsidR="00A51C4A" w:rsidRPr="00D82628">
        <w:rPr>
          <w:b/>
          <w:bCs/>
          <w:color w:val="000000" w:themeColor="text1"/>
          <w:highlight w:val="yellow"/>
          <w:u w:val="single"/>
        </w:rPr>
        <w:t xml:space="preserve"> 1:</w:t>
      </w:r>
      <w:bookmarkEnd w:id="8"/>
      <w:bookmarkEnd w:id="9"/>
      <w:bookmarkEnd w:id="10"/>
      <w:bookmarkEnd w:id="11"/>
      <w:bookmarkEnd w:id="12"/>
      <w:r w:rsidR="00432673" w:rsidRPr="00D82628">
        <w:rPr>
          <w:b/>
          <w:bCs/>
          <w:color w:val="000000" w:themeColor="text1"/>
          <w:highlight w:val="yellow"/>
          <w:u w:val="single"/>
        </w:rPr>
        <w:t xml:space="preserve"> </w:t>
      </w:r>
      <w:r w:rsidR="00432673" w:rsidRPr="00D82628">
        <w:rPr>
          <w:b/>
          <w:bCs/>
          <w:color w:val="000000" w:themeColor="text1"/>
          <w:highlight w:val="yellow"/>
          <w:u w:val="single"/>
        </w:rPr>
        <w:t>Short-term Forecasting using Excel</w:t>
      </w:r>
    </w:p>
    <w:p w14:paraId="41531DAF" w14:textId="77777777" w:rsidR="00AC77A2" w:rsidRPr="00D82628" w:rsidRDefault="00AC77A2" w:rsidP="00F6777D">
      <w:pPr>
        <w:rPr>
          <w:b/>
          <w:bCs/>
          <w:color w:val="000000" w:themeColor="text1"/>
          <w:u w:val="single"/>
        </w:rPr>
      </w:pPr>
    </w:p>
    <w:p w14:paraId="74572311" w14:textId="77777777" w:rsidR="006331B9" w:rsidRPr="00D82628" w:rsidRDefault="006331B9" w:rsidP="00F6777D">
      <w:pPr>
        <w:rPr>
          <w:b/>
          <w:bCs/>
          <w:color w:val="000000" w:themeColor="text1"/>
          <w:sz w:val="11"/>
          <w:szCs w:val="11"/>
          <w:u w:val="single"/>
        </w:rPr>
      </w:pPr>
    </w:p>
    <w:p w14:paraId="0E6DE3D3" w14:textId="21EEEF5E" w:rsidR="006331B9" w:rsidRDefault="006331B9" w:rsidP="0082765A">
      <w:pPr>
        <w:jc w:val="both"/>
        <w:rPr>
          <w:b/>
          <w:bCs/>
          <w:color w:val="000000" w:themeColor="text1"/>
          <w:u w:val="single"/>
        </w:rPr>
      </w:pPr>
      <w:r w:rsidRPr="00001D4F">
        <w:rPr>
          <w:b/>
          <w:bCs/>
        </w:rPr>
        <w:t>(</w:t>
      </w:r>
      <w:proofErr w:type="spellStart"/>
      <w:r w:rsidRPr="00001D4F">
        <w:rPr>
          <w:b/>
          <w:bCs/>
        </w:rPr>
        <w:t>i</w:t>
      </w:r>
      <w:proofErr w:type="spellEnd"/>
      <w:r w:rsidRPr="00001D4F">
        <w:rPr>
          <w:b/>
          <w:bCs/>
        </w:rPr>
        <w:t>)</w:t>
      </w:r>
      <w:r>
        <w:t xml:space="preserve"> </w:t>
      </w:r>
      <w:r w:rsidRPr="0082765A">
        <w:rPr>
          <w:rStyle w:val="Emphasis"/>
          <w:b/>
          <w:bCs/>
        </w:rPr>
        <w:t>Time Series Analysis of AAPL and HON Stocks:</w:t>
      </w:r>
    </w:p>
    <w:p w14:paraId="47CCFE28" w14:textId="1A7379E0" w:rsidR="006331B9" w:rsidRPr="00F47E22" w:rsidRDefault="006331B9" w:rsidP="0082765A">
      <w:pPr>
        <w:jc w:val="both"/>
        <w:rPr>
          <w:b/>
          <w:bCs/>
          <w:color w:val="000000" w:themeColor="text1"/>
          <w:u w:val="single"/>
        </w:rPr>
      </w:pPr>
      <w:r w:rsidRPr="00F47E22">
        <w:t>Using simple line plots, we observed the following patterns in the time series data of both AAPL and HON stocks from November 2019 to October 2020:</w:t>
      </w:r>
    </w:p>
    <w:p w14:paraId="553E408D" w14:textId="77777777" w:rsidR="00432673" w:rsidRDefault="00432673" w:rsidP="0082765A">
      <w:pPr>
        <w:jc w:val="both"/>
      </w:pPr>
    </w:p>
    <w:p w14:paraId="1A021072" w14:textId="77777777" w:rsidR="00AC77A2" w:rsidRPr="00F47E22" w:rsidRDefault="00AC77A2" w:rsidP="0082765A">
      <w:pPr>
        <w:jc w:val="both"/>
      </w:pPr>
    </w:p>
    <w:p w14:paraId="0ADAE62E" w14:textId="20F17238" w:rsidR="00117062" w:rsidRPr="00347A5F" w:rsidRDefault="00432673" w:rsidP="0082765A">
      <w:pPr>
        <w:jc w:val="both"/>
        <w:rPr>
          <w:i/>
          <w:iCs/>
        </w:rPr>
      </w:pPr>
      <w:r w:rsidRPr="00347A5F">
        <w:rPr>
          <w:i/>
          <w:iCs/>
        </w:rPr>
        <w:t>Figure</w:t>
      </w:r>
      <w:r w:rsidR="00347A5F">
        <w:rPr>
          <w:i/>
          <w:iCs/>
        </w:rPr>
        <w:t xml:space="preserve"> </w:t>
      </w:r>
      <w:r w:rsidRPr="00347A5F">
        <w:rPr>
          <w:i/>
          <w:iCs/>
        </w:rPr>
        <w:t xml:space="preserve">1: </w:t>
      </w:r>
      <w:r w:rsidRPr="00347A5F">
        <w:rPr>
          <w:i/>
          <w:iCs/>
        </w:rPr>
        <w:t>Comparative Analysis of Apple Inc. (AAPL) and Honeywell Inc. (HON) Stock Performance (Nov 2019 - Oct 2020)</w:t>
      </w:r>
    </w:p>
    <w:p w14:paraId="75421E1B" w14:textId="62C6C2BE" w:rsidR="00117062" w:rsidRPr="00F47E22" w:rsidRDefault="00432673" w:rsidP="00F6777D">
      <w:pPr>
        <w:rPr>
          <w:b/>
          <w:bCs/>
          <w:u w:val="single"/>
        </w:rPr>
      </w:pPr>
      <w:r w:rsidRPr="00F47E22">
        <w:rPr>
          <w:noProof/>
          <w14:ligatures w14:val="standardContextual"/>
        </w:rPr>
        <w:drawing>
          <wp:inline distT="0" distB="0" distL="0" distR="0" wp14:anchorId="4B4C64DD" wp14:editId="14ECFA61">
            <wp:extent cx="5676900" cy="3238500"/>
            <wp:effectExtent l="0" t="0" r="17780" b="15240"/>
            <wp:docPr id="101895368" name="Chart 1">
              <a:extLst xmlns:a="http://schemas.openxmlformats.org/drawingml/2006/main">
                <a:ext uri="{FF2B5EF4-FFF2-40B4-BE49-F238E27FC236}">
                  <a16:creationId xmlns:a16="http://schemas.microsoft.com/office/drawing/2014/main" id="{3215C30C-524D-230A-639F-CC0EBA237C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4CC720E" w14:textId="77777777" w:rsidR="00AC77A2" w:rsidRDefault="00AC77A2" w:rsidP="00F6777D">
      <w:pPr>
        <w:rPr>
          <w:u w:val="single"/>
        </w:rPr>
        <w:sectPr w:rsidR="00AC77A2" w:rsidSect="00675020">
          <w:headerReference w:type="even" r:id="rId10"/>
          <w:headerReference w:type="default" r:id="rId11"/>
          <w:pgSz w:w="11906" w:h="16838"/>
          <w:pgMar w:top="1440" w:right="1440" w:bottom="1466"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pPr>
    </w:p>
    <w:p w14:paraId="2E592CC4" w14:textId="77777777" w:rsidR="00AC77A2" w:rsidRDefault="00AC77A2" w:rsidP="00F6777D">
      <w:pPr>
        <w:rPr>
          <w:u w:val="single"/>
        </w:rPr>
      </w:pPr>
    </w:p>
    <w:p w14:paraId="3C35BDAB" w14:textId="0B5A9D82" w:rsidR="00EE0BB0" w:rsidRPr="00FF50FE" w:rsidRDefault="00431375" w:rsidP="00F6777D">
      <w:pPr>
        <w:rPr>
          <w:u w:val="single"/>
        </w:rPr>
      </w:pPr>
      <w:r w:rsidRPr="00FF50FE">
        <w:rPr>
          <w:u w:val="single"/>
        </w:rPr>
        <w:t>Interpretation for Figure 1:</w:t>
      </w:r>
    </w:p>
    <w:p w14:paraId="34B55451" w14:textId="2B7070DB" w:rsidR="006331B9" w:rsidRPr="00F47E22" w:rsidRDefault="00432673" w:rsidP="006331B9">
      <w:pPr>
        <w:pStyle w:val="NormalWeb"/>
        <w:spacing w:before="0" w:beforeAutospacing="0" w:after="0" w:afterAutospacing="0"/>
      </w:pPr>
      <w:r w:rsidRPr="00F47E22">
        <w:t>The above</w:t>
      </w:r>
      <w:r w:rsidRPr="00F47E22">
        <w:t xml:space="preserve"> line graph compar</w:t>
      </w:r>
      <w:r w:rsidRPr="00F47E22">
        <w:t>es</w:t>
      </w:r>
      <w:r w:rsidRPr="00F47E22">
        <w:t xml:space="preserve"> the stock prices of Apple Inc. (AAPL) and Honeywell Inc. (HON</w:t>
      </w:r>
      <w:r w:rsidR="006331B9" w:rsidRPr="00F47E22">
        <w:t>)</w:t>
      </w:r>
      <w:r w:rsidRPr="00F47E22">
        <w:t>. The x-axis represents the time from November 8, 2019, to October 8, 2020, while the y-axis represents the stock price in US dollars.</w:t>
      </w:r>
    </w:p>
    <w:p w14:paraId="51C28E1C" w14:textId="6E7EF2A4" w:rsidR="00117062" w:rsidRDefault="00432673" w:rsidP="0082765A">
      <w:pPr>
        <w:pStyle w:val="NormalWeb"/>
        <w:jc w:val="both"/>
      </w:pPr>
      <w:r w:rsidRPr="00F47E22">
        <w:lastRenderedPageBreak/>
        <w:t>The blue line represents Apple Inc.'s stock price, which shows an overall increasing trend during the period, with some volatility. There is a notable dip around March 2020, which may correspond to the market downturn due to the COVID-19 pandemic, followed by a recovery and a continued upward trend.</w:t>
      </w:r>
      <w:r w:rsidR="006331B9" w:rsidRPr="00F47E22">
        <w:t xml:space="preserve"> </w:t>
      </w:r>
      <w:r w:rsidRPr="00F47E22">
        <w:t>The orange line represents Honeywell Inc.'s stock price, which appears more volatile than Apple's and fluctuates within a narrower range. This line also shows a significant drop around March 2020, similar to Apple's. After the drop, Honeywell's stock price recovers but does not exhibit as strong an upward trend as Apple's.</w:t>
      </w:r>
      <w:r w:rsidR="00AC77A2">
        <w:t xml:space="preserve"> </w:t>
      </w:r>
      <w:r w:rsidRPr="00F47E22">
        <w:t>Overall, Apple's stock shows significant growth over the year, outperforming Honeywell's</w:t>
      </w:r>
      <w:r w:rsidR="006331B9" w:rsidRPr="00F47E22">
        <w:t xml:space="preserve"> for this particular time period</w:t>
      </w:r>
      <w:r w:rsidRPr="00F47E22">
        <w:t xml:space="preserve">. </w:t>
      </w:r>
    </w:p>
    <w:p w14:paraId="0C9519A9" w14:textId="77777777" w:rsidR="00AC77A2" w:rsidRPr="00F47E22" w:rsidRDefault="00AC77A2" w:rsidP="0082765A">
      <w:pPr>
        <w:pStyle w:val="NormalWeb"/>
        <w:jc w:val="both"/>
      </w:pPr>
    </w:p>
    <w:p w14:paraId="6096584C" w14:textId="77777777" w:rsidR="00837BC7" w:rsidRPr="00F47E22" w:rsidRDefault="006331B9" w:rsidP="0082765A">
      <w:pPr>
        <w:pStyle w:val="NormalWeb"/>
        <w:spacing w:after="0" w:afterAutospacing="0"/>
        <w:jc w:val="both"/>
      </w:pPr>
      <w:r w:rsidRPr="00001D4F">
        <w:rPr>
          <w:b/>
          <w:bCs/>
        </w:rPr>
        <w:t>(ii)</w:t>
      </w:r>
      <w:r w:rsidRPr="00F47E22">
        <w:t xml:space="preserve"> </w:t>
      </w:r>
      <w:r w:rsidRPr="0082765A">
        <w:rPr>
          <w:rStyle w:val="Emphasis"/>
          <w:b/>
          <w:bCs/>
        </w:rPr>
        <w:t>Exponential Smoothing Application:</w:t>
      </w:r>
      <w:r w:rsidRPr="00F47E22">
        <w:t xml:space="preserve"> </w:t>
      </w:r>
    </w:p>
    <w:p w14:paraId="140D526D" w14:textId="5E1FDC23" w:rsidR="00AC77A2" w:rsidRPr="00F47E22" w:rsidRDefault="00837BC7" w:rsidP="0082765A">
      <w:pPr>
        <w:pStyle w:val="NormalWeb"/>
        <w:spacing w:before="0" w:beforeAutospacing="0"/>
        <w:jc w:val="both"/>
      </w:pPr>
      <w:r w:rsidRPr="00F47E22">
        <w:t>The data presented</w:t>
      </w:r>
      <w:r w:rsidRPr="00F47E22">
        <w:t xml:space="preserve"> below</w:t>
      </w:r>
      <w:r w:rsidRPr="00F47E22">
        <w:t xml:space="preserve"> show the results of exponential smoothing forecasts for Apple Inc. (AAPL) and Honeywell Inc. (HON) using four different alpha (α) values: 0.15, 0.35, 0.55, and 0.175.</w:t>
      </w:r>
      <w:r w:rsidRPr="00F47E22">
        <w:t xml:space="preserve"> </w:t>
      </w:r>
      <w:r w:rsidRPr="00F47E22">
        <w:t xml:space="preserve">The performance of these forecasts is measured using the Mean Absolute Deviation (MAD) and the Mean Absolute Percentage </w:t>
      </w:r>
      <w:r w:rsidR="00675020">
        <w:t>Error</w:t>
      </w:r>
      <w:r w:rsidRPr="00F47E22">
        <w:t xml:space="preserve"> (MAP</w:t>
      </w:r>
      <w:r w:rsidR="00675020">
        <w:t>E</w:t>
      </w:r>
      <w:r w:rsidRPr="00F47E22">
        <w:t>). Lower values of MAD and MAP</w:t>
      </w:r>
      <w:r w:rsidR="00675020">
        <w:t>E</w:t>
      </w:r>
      <w:r w:rsidRPr="00F47E22">
        <w:t xml:space="preserve"> indicate more accurate forecasts.</w:t>
      </w:r>
    </w:p>
    <w:p w14:paraId="6D2CF95A" w14:textId="06C80457" w:rsidR="00837BC7" w:rsidRPr="00FF50FE" w:rsidRDefault="00837BC7" w:rsidP="00F47E22">
      <w:pPr>
        <w:pStyle w:val="NormalWeb"/>
        <w:spacing w:before="0" w:beforeAutospacing="0" w:after="0" w:afterAutospacing="0"/>
        <w:rPr>
          <w:b/>
          <w:bCs/>
          <w:i/>
          <w:iCs/>
        </w:rPr>
      </w:pPr>
      <w:r w:rsidRPr="00FF50FE">
        <w:rPr>
          <w:b/>
          <w:bCs/>
          <w:i/>
          <w:iCs/>
        </w:rPr>
        <w:t xml:space="preserve">Table 1: </w:t>
      </w:r>
      <w:r w:rsidRPr="00FF50FE">
        <w:rPr>
          <w:rFonts w:eastAsiaTheme="minorHAnsi"/>
          <w:b/>
          <w:bCs/>
          <w:i/>
          <w:iCs/>
          <w:color w:val="000000"/>
          <w14:ligatures w14:val="standardContextual"/>
        </w:rPr>
        <w:t>E</w:t>
      </w:r>
      <w:r w:rsidRPr="00FF50FE">
        <w:rPr>
          <w:rFonts w:eastAsiaTheme="minorHAnsi"/>
          <w:b/>
          <w:bCs/>
          <w:i/>
          <w:iCs/>
          <w:color w:val="000000"/>
          <w14:ligatures w14:val="standardContextual"/>
        </w:rPr>
        <w:t>xponential smoothing to forecast prices</w:t>
      </w:r>
      <w:r w:rsidRPr="00FF50FE">
        <w:rPr>
          <w:rFonts w:eastAsiaTheme="minorHAnsi"/>
          <w:b/>
          <w:bCs/>
          <w:i/>
          <w:iCs/>
          <w:color w:val="000000"/>
          <w14:ligatures w14:val="standardContextual"/>
        </w:rPr>
        <w:t xml:space="preserve"> for AAPL and HON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499"/>
        <w:gridCol w:w="1506"/>
        <w:gridCol w:w="1502"/>
        <w:gridCol w:w="1502"/>
        <w:gridCol w:w="1488"/>
      </w:tblGrid>
      <w:tr w:rsidR="00552956" w:rsidRPr="00AC3B0C" w14:paraId="1E4300AD" w14:textId="77777777" w:rsidTr="00552956">
        <w:trPr>
          <w:trHeight w:val="420"/>
        </w:trPr>
        <w:tc>
          <w:tcPr>
            <w:tcW w:w="833" w:type="pct"/>
            <w:tcBorders>
              <w:top w:val="single" w:sz="12" w:space="0" w:color="auto"/>
              <w:left w:val="single" w:sz="12" w:space="0" w:color="auto"/>
              <w:bottom w:val="single" w:sz="12" w:space="0" w:color="000000"/>
            </w:tcBorders>
            <w:vAlign w:val="center"/>
          </w:tcPr>
          <w:p w14:paraId="054BA028" w14:textId="77777777" w:rsidR="00552956" w:rsidRPr="00AC3B0C" w:rsidRDefault="00552956" w:rsidP="00552956">
            <w:pPr>
              <w:jc w:val="center"/>
              <w:rPr>
                <w:b/>
                <w:bCs/>
                <w:color w:val="000000" w:themeColor="text1"/>
              </w:rPr>
            </w:pPr>
          </w:p>
        </w:tc>
        <w:tc>
          <w:tcPr>
            <w:tcW w:w="833" w:type="pct"/>
            <w:tcBorders>
              <w:top w:val="single" w:sz="12" w:space="0" w:color="auto"/>
              <w:left w:val="single" w:sz="12" w:space="0" w:color="auto"/>
              <w:bottom w:val="single" w:sz="12" w:space="0" w:color="000000"/>
            </w:tcBorders>
            <w:shd w:val="clear" w:color="auto" w:fill="auto"/>
            <w:noWrap/>
            <w:vAlign w:val="center"/>
          </w:tcPr>
          <w:p w14:paraId="515C777D" w14:textId="673F5FD0" w:rsidR="00552956" w:rsidRPr="00AC3B0C" w:rsidRDefault="00552956" w:rsidP="00552956">
            <w:pPr>
              <w:jc w:val="center"/>
              <w:rPr>
                <w:b/>
                <w:bCs/>
                <w:color w:val="FF0000"/>
              </w:rPr>
            </w:pPr>
            <w:r w:rsidRPr="00AC3B0C">
              <w:rPr>
                <w:b/>
                <w:bCs/>
                <w:color w:val="000000" w:themeColor="text1"/>
              </w:rPr>
              <w:t>Alpha</w:t>
            </w:r>
          </w:p>
        </w:tc>
        <w:tc>
          <w:tcPr>
            <w:tcW w:w="837" w:type="pct"/>
            <w:tcBorders>
              <w:top w:val="single" w:sz="12" w:space="0" w:color="auto"/>
              <w:bottom w:val="single" w:sz="12" w:space="0" w:color="000000"/>
            </w:tcBorders>
            <w:shd w:val="clear" w:color="auto" w:fill="auto"/>
            <w:noWrap/>
            <w:vAlign w:val="center"/>
          </w:tcPr>
          <w:p w14:paraId="6360C8C1" w14:textId="442A4968" w:rsidR="00552956" w:rsidRPr="00552956" w:rsidRDefault="00552956" w:rsidP="00552956">
            <w:pPr>
              <w:jc w:val="center"/>
              <w:rPr>
                <w:b/>
                <w:bCs/>
                <w:color w:val="000000" w:themeColor="text1"/>
              </w:rPr>
            </w:pPr>
            <w:r w:rsidRPr="00552956">
              <w:rPr>
                <w:b/>
                <w:bCs/>
                <w:color w:val="000000" w:themeColor="text1"/>
              </w:rPr>
              <w:t>0.15</w:t>
            </w:r>
          </w:p>
        </w:tc>
        <w:tc>
          <w:tcPr>
            <w:tcW w:w="835" w:type="pct"/>
            <w:tcBorders>
              <w:top w:val="single" w:sz="12" w:space="0" w:color="auto"/>
              <w:bottom w:val="single" w:sz="12" w:space="0" w:color="000000"/>
            </w:tcBorders>
            <w:shd w:val="clear" w:color="auto" w:fill="auto"/>
            <w:noWrap/>
            <w:vAlign w:val="center"/>
          </w:tcPr>
          <w:p w14:paraId="44B3F893" w14:textId="02649310" w:rsidR="00552956" w:rsidRPr="00552956" w:rsidRDefault="00552956" w:rsidP="00552956">
            <w:pPr>
              <w:jc w:val="center"/>
              <w:rPr>
                <w:b/>
                <w:bCs/>
                <w:color w:val="000000" w:themeColor="text1"/>
              </w:rPr>
            </w:pPr>
            <w:r w:rsidRPr="00552956">
              <w:rPr>
                <w:b/>
                <w:bCs/>
                <w:color w:val="000000" w:themeColor="text1"/>
              </w:rPr>
              <w:t>0.</w:t>
            </w:r>
            <w:r w:rsidRPr="00552956">
              <w:rPr>
                <w:b/>
                <w:bCs/>
                <w:color w:val="000000" w:themeColor="text1"/>
              </w:rPr>
              <w:t>3</w:t>
            </w:r>
            <w:r w:rsidRPr="00552956">
              <w:rPr>
                <w:b/>
                <w:bCs/>
                <w:color w:val="000000" w:themeColor="text1"/>
              </w:rPr>
              <w:t>5</w:t>
            </w:r>
          </w:p>
        </w:tc>
        <w:tc>
          <w:tcPr>
            <w:tcW w:w="835" w:type="pct"/>
            <w:tcBorders>
              <w:top w:val="single" w:sz="12" w:space="0" w:color="auto"/>
              <w:bottom w:val="single" w:sz="12" w:space="0" w:color="000000"/>
            </w:tcBorders>
            <w:shd w:val="clear" w:color="auto" w:fill="auto"/>
            <w:noWrap/>
            <w:vAlign w:val="center"/>
          </w:tcPr>
          <w:p w14:paraId="26A04F0D" w14:textId="7989826B" w:rsidR="00552956" w:rsidRPr="00552956" w:rsidRDefault="00552956" w:rsidP="00552956">
            <w:pPr>
              <w:jc w:val="center"/>
              <w:rPr>
                <w:b/>
                <w:bCs/>
                <w:color w:val="000000" w:themeColor="text1"/>
              </w:rPr>
            </w:pPr>
            <w:r w:rsidRPr="00552956">
              <w:rPr>
                <w:b/>
                <w:bCs/>
                <w:color w:val="000000" w:themeColor="text1"/>
              </w:rPr>
              <w:t>0.</w:t>
            </w:r>
            <w:r w:rsidRPr="00552956">
              <w:rPr>
                <w:b/>
                <w:bCs/>
                <w:color w:val="000000" w:themeColor="text1"/>
              </w:rPr>
              <w:t>5</w:t>
            </w:r>
            <w:r w:rsidRPr="00552956">
              <w:rPr>
                <w:b/>
                <w:bCs/>
                <w:color w:val="000000" w:themeColor="text1"/>
              </w:rPr>
              <w:t>5</w:t>
            </w:r>
          </w:p>
        </w:tc>
        <w:tc>
          <w:tcPr>
            <w:tcW w:w="827" w:type="pct"/>
            <w:tcBorders>
              <w:top w:val="single" w:sz="12" w:space="0" w:color="auto"/>
              <w:bottom w:val="single" w:sz="12" w:space="0" w:color="000000"/>
              <w:right w:val="single" w:sz="12" w:space="0" w:color="auto"/>
            </w:tcBorders>
            <w:shd w:val="clear" w:color="auto" w:fill="auto"/>
            <w:noWrap/>
            <w:vAlign w:val="center"/>
          </w:tcPr>
          <w:p w14:paraId="7F348E46" w14:textId="2B5D45D9" w:rsidR="00552956" w:rsidRPr="00552956" w:rsidRDefault="00552956" w:rsidP="00552956">
            <w:pPr>
              <w:jc w:val="center"/>
              <w:rPr>
                <w:b/>
                <w:bCs/>
                <w:color w:val="000000" w:themeColor="text1"/>
              </w:rPr>
            </w:pPr>
            <w:r w:rsidRPr="00552956">
              <w:rPr>
                <w:b/>
                <w:bCs/>
                <w:color w:val="000000" w:themeColor="text1"/>
              </w:rPr>
              <w:t>0.1</w:t>
            </w:r>
            <w:r w:rsidRPr="00552956">
              <w:rPr>
                <w:b/>
                <w:bCs/>
                <w:color w:val="000000" w:themeColor="text1"/>
              </w:rPr>
              <w:t>7</w:t>
            </w:r>
            <w:r w:rsidRPr="00552956">
              <w:rPr>
                <w:b/>
                <w:bCs/>
                <w:color w:val="000000" w:themeColor="text1"/>
              </w:rPr>
              <w:t>5</w:t>
            </w:r>
          </w:p>
        </w:tc>
      </w:tr>
      <w:tr w:rsidR="00552956" w:rsidRPr="00AC3B0C" w14:paraId="6E6A9276" w14:textId="77777777" w:rsidTr="00552956">
        <w:trPr>
          <w:trHeight w:val="420"/>
        </w:trPr>
        <w:tc>
          <w:tcPr>
            <w:tcW w:w="833" w:type="pct"/>
            <w:vMerge w:val="restart"/>
            <w:tcBorders>
              <w:top w:val="single" w:sz="12" w:space="0" w:color="000000"/>
              <w:left w:val="single" w:sz="12" w:space="0" w:color="auto"/>
            </w:tcBorders>
            <w:vAlign w:val="center"/>
          </w:tcPr>
          <w:p w14:paraId="7EA0131D" w14:textId="77777777" w:rsidR="00552956" w:rsidRDefault="00552956" w:rsidP="00552956">
            <w:pPr>
              <w:jc w:val="center"/>
              <w:rPr>
                <w:b/>
                <w:bCs/>
                <w:color w:val="000000" w:themeColor="text1"/>
              </w:rPr>
            </w:pPr>
            <w:r>
              <w:rPr>
                <w:b/>
                <w:bCs/>
                <w:color w:val="000000" w:themeColor="text1"/>
              </w:rPr>
              <w:t>Apple</w:t>
            </w:r>
          </w:p>
          <w:p w14:paraId="16E0D017" w14:textId="5E0A2895" w:rsidR="00552956" w:rsidRPr="00AC3B0C" w:rsidRDefault="00552956" w:rsidP="00552956">
            <w:pPr>
              <w:jc w:val="center"/>
              <w:rPr>
                <w:b/>
                <w:bCs/>
                <w:color w:val="000000" w:themeColor="text1"/>
              </w:rPr>
            </w:pPr>
            <w:r>
              <w:rPr>
                <w:b/>
                <w:bCs/>
                <w:color w:val="000000" w:themeColor="text1"/>
              </w:rPr>
              <w:t>(AAPL)</w:t>
            </w:r>
          </w:p>
        </w:tc>
        <w:tc>
          <w:tcPr>
            <w:tcW w:w="833" w:type="pct"/>
            <w:tcBorders>
              <w:top w:val="single" w:sz="12" w:space="0" w:color="000000"/>
              <w:left w:val="single" w:sz="12" w:space="0" w:color="auto"/>
            </w:tcBorders>
            <w:shd w:val="clear" w:color="auto" w:fill="auto"/>
            <w:noWrap/>
            <w:vAlign w:val="center"/>
            <w:hideMark/>
          </w:tcPr>
          <w:p w14:paraId="6D13E325" w14:textId="414BE018" w:rsidR="00552956" w:rsidRPr="00AC3B0C" w:rsidRDefault="00552956" w:rsidP="00552956">
            <w:pPr>
              <w:jc w:val="center"/>
              <w:rPr>
                <w:b/>
                <w:bCs/>
                <w:color w:val="000000" w:themeColor="text1"/>
              </w:rPr>
            </w:pPr>
            <w:r w:rsidRPr="00AC3B0C">
              <w:rPr>
                <w:b/>
                <w:bCs/>
                <w:color w:val="000000" w:themeColor="text1"/>
              </w:rPr>
              <w:t>MAD</w:t>
            </w:r>
          </w:p>
        </w:tc>
        <w:tc>
          <w:tcPr>
            <w:tcW w:w="837" w:type="pct"/>
            <w:tcBorders>
              <w:top w:val="single" w:sz="12" w:space="0" w:color="000000"/>
            </w:tcBorders>
            <w:shd w:val="clear" w:color="auto" w:fill="auto"/>
            <w:noWrap/>
            <w:vAlign w:val="center"/>
            <w:hideMark/>
          </w:tcPr>
          <w:p w14:paraId="2EFDF010" w14:textId="77777777" w:rsidR="00552956" w:rsidRPr="00AC3B0C" w:rsidRDefault="00552956" w:rsidP="00552956">
            <w:pPr>
              <w:jc w:val="center"/>
              <w:rPr>
                <w:b/>
                <w:bCs/>
                <w:color w:val="FF0000"/>
              </w:rPr>
            </w:pPr>
            <w:r w:rsidRPr="00AC3B0C">
              <w:rPr>
                <w:b/>
                <w:bCs/>
                <w:color w:val="FF0000"/>
              </w:rPr>
              <w:t>3.825</w:t>
            </w:r>
          </w:p>
        </w:tc>
        <w:tc>
          <w:tcPr>
            <w:tcW w:w="835" w:type="pct"/>
            <w:tcBorders>
              <w:top w:val="single" w:sz="12" w:space="0" w:color="000000"/>
            </w:tcBorders>
            <w:shd w:val="clear" w:color="auto" w:fill="auto"/>
            <w:noWrap/>
            <w:vAlign w:val="center"/>
            <w:hideMark/>
          </w:tcPr>
          <w:p w14:paraId="598BE86D" w14:textId="77777777" w:rsidR="00552956" w:rsidRPr="00AC3B0C" w:rsidRDefault="00552956" w:rsidP="00552956">
            <w:pPr>
              <w:jc w:val="center"/>
              <w:rPr>
                <w:b/>
                <w:bCs/>
                <w:color w:val="FF0000"/>
              </w:rPr>
            </w:pPr>
            <w:r w:rsidRPr="00AC3B0C">
              <w:rPr>
                <w:b/>
                <w:bCs/>
                <w:color w:val="FF0000"/>
              </w:rPr>
              <w:t>2.601</w:t>
            </w:r>
          </w:p>
        </w:tc>
        <w:tc>
          <w:tcPr>
            <w:tcW w:w="835" w:type="pct"/>
            <w:tcBorders>
              <w:top w:val="single" w:sz="12" w:space="0" w:color="000000"/>
            </w:tcBorders>
            <w:shd w:val="clear" w:color="auto" w:fill="auto"/>
            <w:noWrap/>
            <w:vAlign w:val="center"/>
            <w:hideMark/>
          </w:tcPr>
          <w:p w14:paraId="0CCC76F7" w14:textId="77777777" w:rsidR="00552956" w:rsidRPr="00AC3B0C" w:rsidRDefault="00552956" w:rsidP="00552956">
            <w:pPr>
              <w:jc w:val="center"/>
              <w:rPr>
                <w:b/>
                <w:bCs/>
                <w:color w:val="FF0000"/>
              </w:rPr>
            </w:pPr>
            <w:r w:rsidRPr="00AC3B0C">
              <w:rPr>
                <w:b/>
                <w:bCs/>
                <w:color w:val="FF0000"/>
              </w:rPr>
              <w:t>2.259</w:t>
            </w:r>
          </w:p>
        </w:tc>
        <w:tc>
          <w:tcPr>
            <w:tcW w:w="827" w:type="pct"/>
            <w:tcBorders>
              <w:top w:val="single" w:sz="12" w:space="0" w:color="000000"/>
              <w:right w:val="single" w:sz="12" w:space="0" w:color="auto"/>
            </w:tcBorders>
            <w:shd w:val="clear" w:color="auto" w:fill="auto"/>
            <w:noWrap/>
            <w:vAlign w:val="center"/>
            <w:hideMark/>
          </w:tcPr>
          <w:p w14:paraId="22FD6724" w14:textId="77777777" w:rsidR="00552956" w:rsidRPr="00AC3B0C" w:rsidRDefault="00552956" w:rsidP="00552956">
            <w:pPr>
              <w:jc w:val="center"/>
              <w:rPr>
                <w:b/>
                <w:bCs/>
                <w:color w:val="FF0000"/>
              </w:rPr>
            </w:pPr>
            <w:r w:rsidRPr="00AC3B0C">
              <w:rPr>
                <w:b/>
                <w:bCs/>
                <w:color w:val="FF0000"/>
              </w:rPr>
              <w:t>2.162</w:t>
            </w:r>
          </w:p>
        </w:tc>
      </w:tr>
      <w:tr w:rsidR="00552956" w:rsidRPr="00AC3B0C" w14:paraId="13FC2574" w14:textId="77777777" w:rsidTr="00552956">
        <w:trPr>
          <w:trHeight w:val="420"/>
        </w:trPr>
        <w:tc>
          <w:tcPr>
            <w:tcW w:w="833" w:type="pct"/>
            <w:vMerge/>
            <w:tcBorders>
              <w:left w:val="single" w:sz="12" w:space="0" w:color="auto"/>
              <w:bottom w:val="single" w:sz="12" w:space="0" w:color="000000"/>
            </w:tcBorders>
            <w:vAlign w:val="center"/>
          </w:tcPr>
          <w:p w14:paraId="746ACBC2" w14:textId="77777777" w:rsidR="00552956" w:rsidRPr="00AC3B0C" w:rsidRDefault="00552956" w:rsidP="00552956">
            <w:pPr>
              <w:jc w:val="center"/>
              <w:rPr>
                <w:b/>
                <w:bCs/>
                <w:color w:val="000000" w:themeColor="text1"/>
              </w:rPr>
            </w:pPr>
          </w:p>
        </w:tc>
        <w:tc>
          <w:tcPr>
            <w:tcW w:w="833" w:type="pct"/>
            <w:tcBorders>
              <w:left w:val="single" w:sz="12" w:space="0" w:color="auto"/>
              <w:bottom w:val="single" w:sz="12" w:space="0" w:color="000000"/>
            </w:tcBorders>
            <w:shd w:val="clear" w:color="auto" w:fill="auto"/>
            <w:noWrap/>
            <w:vAlign w:val="center"/>
            <w:hideMark/>
          </w:tcPr>
          <w:p w14:paraId="0981B687" w14:textId="568072BE" w:rsidR="00552956" w:rsidRPr="00AC3B0C" w:rsidRDefault="00552956" w:rsidP="00552956">
            <w:pPr>
              <w:jc w:val="center"/>
              <w:rPr>
                <w:b/>
                <w:bCs/>
                <w:color w:val="000000" w:themeColor="text1"/>
              </w:rPr>
            </w:pPr>
            <w:r w:rsidRPr="00AC3B0C">
              <w:rPr>
                <w:b/>
                <w:bCs/>
                <w:color w:val="000000" w:themeColor="text1"/>
              </w:rPr>
              <w:t>MAP</w:t>
            </w:r>
            <w:r w:rsidR="00001D4F">
              <w:rPr>
                <w:b/>
                <w:bCs/>
                <w:color w:val="000000" w:themeColor="text1"/>
              </w:rPr>
              <w:t>E</w:t>
            </w:r>
          </w:p>
        </w:tc>
        <w:tc>
          <w:tcPr>
            <w:tcW w:w="837" w:type="pct"/>
            <w:tcBorders>
              <w:bottom w:val="single" w:sz="12" w:space="0" w:color="000000"/>
            </w:tcBorders>
            <w:shd w:val="clear" w:color="auto" w:fill="auto"/>
            <w:noWrap/>
            <w:vAlign w:val="center"/>
            <w:hideMark/>
          </w:tcPr>
          <w:p w14:paraId="5043FDAF" w14:textId="77777777" w:rsidR="00552956" w:rsidRPr="00AC3B0C" w:rsidRDefault="00552956" w:rsidP="00552956">
            <w:pPr>
              <w:jc w:val="center"/>
              <w:rPr>
                <w:b/>
                <w:bCs/>
                <w:color w:val="FF0000"/>
              </w:rPr>
            </w:pPr>
            <w:r w:rsidRPr="00AC3B0C">
              <w:rPr>
                <w:b/>
                <w:bCs/>
                <w:color w:val="FF0000"/>
              </w:rPr>
              <w:t>3.87%</w:t>
            </w:r>
          </w:p>
        </w:tc>
        <w:tc>
          <w:tcPr>
            <w:tcW w:w="835" w:type="pct"/>
            <w:tcBorders>
              <w:bottom w:val="single" w:sz="12" w:space="0" w:color="000000"/>
            </w:tcBorders>
            <w:shd w:val="clear" w:color="auto" w:fill="auto"/>
            <w:noWrap/>
            <w:vAlign w:val="center"/>
            <w:hideMark/>
          </w:tcPr>
          <w:p w14:paraId="11E25A0E" w14:textId="77777777" w:rsidR="00552956" w:rsidRPr="00AC3B0C" w:rsidRDefault="00552956" w:rsidP="00552956">
            <w:pPr>
              <w:jc w:val="center"/>
              <w:rPr>
                <w:b/>
                <w:bCs/>
                <w:color w:val="FF0000"/>
              </w:rPr>
            </w:pPr>
            <w:r w:rsidRPr="00AC3B0C">
              <w:rPr>
                <w:b/>
                <w:bCs/>
                <w:color w:val="FF0000"/>
              </w:rPr>
              <w:t>2.47%</w:t>
            </w:r>
          </w:p>
        </w:tc>
        <w:tc>
          <w:tcPr>
            <w:tcW w:w="835" w:type="pct"/>
            <w:tcBorders>
              <w:bottom w:val="single" w:sz="12" w:space="0" w:color="000000"/>
            </w:tcBorders>
            <w:shd w:val="clear" w:color="auto" w:fill="auto"/>
            <w:noWrap/>
            <w:vAlign w:val="center"/>
            <w:hideMark/>
          </w:tcPr>
          <w:p w14:paraId="17B0B2A7" w14:textId="77777777" w:rsidR="00552956" w:rsidRPr="00AC3B0C" w:rsidRDefault="00552956" w:rsidP="00552956">
            <w:pPr>
              <w:jc w:val="center"/>
              <w:rPr>
                <w:b/>
                <w:bCs/>
                <w:color w:val="FF0000"/>
              </w:rPr>
            </w:pPr>
            <w:r w:rsidRPr="00AC3B0C">
              <w:rPr>
                <w:b/>
                <w:bCs/>
                <w:color w:val="FF0000"/>
              </w:rPr>
              <w:t>2.08%</w:t>
            </w:r>
          </w:p>
        </w:tc>
        <w:tc>
          <w:tcPr>
            <w:tcW w:w="827" w:type="pct"/>
            <w:tcBorders>
              <w:bottom w:val="single" w:sz="12" w:space="0" w:color="000000"/>
              <w:right w:val="single" w:sz="12" w:space="0" w:color="000000"/>
            </w:tcBorders>
            <w:shd w:val="clear" w:color="auto" w:fill="auto"/>
            <w:noWrap/>
            <w:vAlign w:val="center"/>
            <w:hideMark/>
          </w:tcPr>
          <w:p w14:paraId="0384AD61" w14:textId="77777777" w:rsidR="00552956" w:rsidRPr="00AC3B0C" w:rsidRDefault="00552956" w:rsidP="00552956">
            <w:pPr>
              <w:jc w:val="center"/>
              <w:rPr>
                <w:b/>
                <w:bCs/>
                <w:color w:val="FF0000"/>
              </w:rPr>
            </w:pPr>
            <w:r w:rsidRPr="00AC3B0C">
              <w:rPr>
                <w:b/>
                <w:bCs/>
                <w:color w:val="FF0000"/>
              </w:rPr>
              <w:t>1.97%</w:t>
            </w:r>
          </w:p>
        </w:tc>
      </w:tr>
      <w:tr w:rsidR="00552956" w:rsidRPr="00AC3B0C" w14:paraId="24222DEF" w14:textId="77777777" w:rsidTr="00552956">
        <w:trPr>
          <w:trHeight w:val="420"/>
        </w:trPr>
        <w:tc>
          <w:tcPr>
            <w:tcW w:w="833" w:type="pct"/>
            <w:vMerge w:val="restart"/>
            <w:tcBorders>
              <w:top w:val="single" w:sz="12" w:space="0" w:color="000000"/>
              <w:left w:val="single" w:sz="12" w:space="0" w:color="auto"/>
            </w:tcBorders>
            <w:vAlign w:val="center"/>
          </w:tcPr>
          <w:p w14:paraId="26B533EE" w14:textId="77777777" w:rsidR="00552956" w:rsidRDefault="00552956" w:rsidP="00552956">
            <w:pPr>
              <w:jc w:val="center"/>
              <w:rPr>
                <w:b/>
                <w:bCs/>
                <w:color w:val="000000" w:themeColor="text1"/>
              </w:rPr>
            </w:pPr>
            <w:r>
              <w:rPr>
                <w:b/>
                <w:bCs/>
                <w:color w:val="000000" w:themeColor="text1"/>
              </w:rPr>
              <w:t>Honeywell</w:t>
            </w:r>
          </w:p>
          <w:p w14:paraId="693BFB57" w14:textId="63A486E6" w:rsidR="00552956" w:rsidRPr="00552956" w:rsidRDefault="00552956" w:rsidP="00552956">
            <w:pPr>
              <w:jc w:val="center"/>
              <w:rPr>
                <w:b/>
                <w:bCs/>
                <w:color w:val="000000" w:themeColor="text1"/>
              </w:rPr>
            </w:pPr>
            <w:r>
              <w:rPr>
                <w:b/>
                <w:bCs/>
                <w:color w:val="000000" w:themeColor="text1"/>
              </w:rPr>
              <w:t>(HON)</w:t>
            </w:r>
          </w:p>
        </w:tc>
        <w:tc>
          <w:tcPr>
            <w:tcW w:w="833" w:type="pct"/>
            <w:tcBorders>
              <w:top w:val="single" w:sz="12" w:space="0" w:color="000000"/>
              <w:left w:val="single" w:sz="12" w:space="0" w:color="auto"/>
            </w:tcBorders>
            <w:shd w:val="clear" w:color="auto" w:fill="auto"/>
            <w:noWrap/>
            <w:vAlign w:val="center"/>
          </w:tcPr>
          <w:p w14:paraId="0ED4A3DE" w14:textId="4017B9B4" w:rsidR="00552956" w:rsidRPr="00AC3B0C" w:rsidRDefault="00552956" w:rsidP="00552956">
            <w:pPr>
              <w:jc w:val="center"/>
              <w:rPr>
                <w:b/>
                <w:bCs/>
                <w:color w:val="000000" w:themeColor="text1"/>
              </w:rPr>
            </w:pPr>
            <w:r w:rsidRPr="00552956">
              <w:rPr>
                <w:b/>
                <w:bCs/>
                <w:color w:val="000000" w:themeColor="text1"/>
              </w:rPr>
              <w:t>MAD</w:t>
            </w:r>
          </w:p>
        </w:tc>
        <w:tc>
          <w:tcPr>
            <w:tcW w:w="837" w:type="pct"/>
            <w:tcBorders>
              <w:top w:val="single" w:sz="12" w:space="0" w:color="000000"/>
            </w:tcBorders>
            <w:shd w:val="clear" w:color="auto" w:fill="auto"/>
            <w:noWrap/>
            <w:vAlign w:val="center"/>
          </w:tcPr>
          <w:p w14:paraId="0E9F2F5A" w14:textId="2B97B9AE" w:rsidR="00552956" w:rsidRPr="00AC3B0C" w:rsidRDefault="00552956" w:rsidP="00552956">
            <w:pPr>
              <w:jc w:val="center"/>
              <w:rPr>
                <w:b/>
                <w:bCs/>
                <w:color w:val="FF0000"/>
              </w:rPr>
            </w:pPr>
            <w:r w:rsidRPr="00552956">
              <w:rPr>
                <w:b/>
                <w:bCs/>
                <w:color w:val="FF0000"/>
              </w:rPr>
              <w:t>5.158</w:t>
            </w:r>
          </w:p>
        </w:tc>
        <w:tc>
          <w:tcPr>
            <w:tcW w:w="835" w:type="pct"/>
            <w:tcBorders>
              <w:top w:val="single" w:sz="12" w:space="0" w:color="000000"/>
            </w:tcBorders>
            <w:shd w:val="clear" w:color="auto" w:fill="auto"/>
            <w:noWrap/>
            <w:vAlign w:val="center"/>
          </w:tcPr>
          <w:p w14:paraId="0BE84FEA" w14:textId="64F0A99C" w:rsidR="00552956" w:rsidRPr="00AC3B0C" w:rsidRDefault="00552956" w:rsidP="00552956">
            <w:pPr>
              <w:jc w:val="center"/>
              <w:rPr>
                <w:b/>
                <w:bCs/>
                <w:color w:val="FF0000"/>
              </w:rPr>
            </w:pPr>
            <w:r w:rsidRPr="00552956">
              <w:rPr>
                <w:b/>
                <w:bCs/>
                <w:color w:val="FF0000"/>
              </w:rPr>
              <w:t>4.149</w:t>
            </w:r>
          </w:p>
        </w:tc>
        <w:tc>
          <w:tcPr>
            <w:tcW w:w="835" w:type="pct"/>
            <w:tcBorders>
              <w:top w:val="single" w:sz="12" w:space="0" w:color="000000"/>
            </w:tcBorders>
            <w:shd w:val="clear" w:color="auto" w:fill="auto"/>
            <w:noWrap/>
            <w:vAlign w:val="center"/>
          </w:tcPr>
          <w:p w14:paraId="6A4E6AAB" w14:textId="7077A03D" w:rsidR="00552956" w:rsidRPr="00AC3B0C" w:rsidRDefault="00552956" w:rsidP="00552956">
            <w:pPr>
              <w:jc w:val="center"/>
              <w:rPr>
                <w:b/>
                <w:bCs/>
                <w:color w:val="FF0000"/>
              </w:rPr>
            </w:pPr>
            <w:r w:rsidRPr="00552956">
              <w:rPr>
                <w:b/>
                <w:bCs/>
                <w:color w:val="FF0000"/>
              </w:rPr>
              <w:t>3.702</w:t>
            </w:r>
          </w:p>
        </w:tc>
        <w:tc>
          <w:tcPr>
            <w:tcW w:w="827" w:type="pct"/>
            <w:tcBorders>
              <w:top w:val="single" w:sz="12" w:space="0" w:color="000000"/>
              <w:right w:val="single" w:sz="12" w:space="0" w:color="auto"/>
            </w:tcBorders>
            <w:shd w:val="clear" w:color="auto" w:fill="auto"/>
            <w:noWrap/>
            <w:vAlign w:val="center"/>
          </w:tcPr>
          <w:p w14:paraId="5D5F17D5" w14:textId="44514F28" w:rsidR="00552956" w:rsidRPr="00AC3B0C" w:rsidRDefault="00552956" w:rsidP="00552956">
            <w:pPr>
              <w:jc w:val="center"/>
              <w:rPr>
                <w:b/>
                <w:bCs/>
                <w:color w:val="FF0000"/>
              </w:rPr>
            </w:pPr>
            <w:r w:rsidRPr="00552956">
              <w:rPr>
                <w:b/>
                <w:bCs/>
                <w:color w:val="FF0000"/>
              </w:rPr>
              <w:t>3.508</w:t>
            </w:r>
          </w:p>
        </w:tc>
      </w:tr>
      <w:tr w:rsidR="00552956" w:rsidRPr="00AC3B0C" w14:paraId="0083476A" w14:textId="77777777" w:rsidTr="00552956">
        <w:trPr>
          <w:trHeight w:val="420"/>
        </w:trPr>
        <w:tc>
          <w:tcPr>
            <w:tcW w:w="833" w:type="pct"/>
            <w:vMerge/>
            <w:tcBorders>
              <w:left w:val="single" w:sz="12" w:space="0" w:color="auto"/>
              <w:bottom w:val="single" w:sz="12" w:space="0" w:color="000000"/>
            </w:tcBorders>
            <w:vAlign w:val="center"/>
          </w:tcPr>
          <w:p w14:paraId="7BC06D00" w14:textId="77777777" w:rsidR="00552956" w:rsidRPr="00552956" w:rsidRDefault="00552956" w:rsidP="00552956">
            <w:pPr>
              <w:jc w:val="center"/>
              <w:rPr>
                <w:b/>
                <w:bCs/>
                <w:color w:val="000000" w:themeColor="text1"/>
              </w:rPr>
            </w:pPr>
          </w:p>
        </w:tc>
        <w:tc>
          <w:tcPr>
            <w:tcW w:w="833" w:type="pct"/>
            <w:tcBorders>
              <w:left w:val="single" w:sz="12" w:space="0" w:color="auto"/>
              <w:bottom w:val="single" w:sz="12" w:space="0" w:color="000000"/>
            </w:tcBorders>
            <w:shd w:val="clear" w:color="auto" w:fill="auto"/>
            <w:noWrap/>
            <w:vAlign w:val="center"/>
          </w:tcPr>
          <w:p w14:paraId="46430A0E" w14:textId="69742F8A" w:rsidR="00552956" w:rsidRPr="00AC3B0C" w:rsidRDefault="00552956" w:rsidP="00552956">
            <w:pPr>
              <w:jc w:val="center"/>
              <w:rPr>
                <w:b/>
                <w:bCs/>
                <w:color w:val="000000" w:themeColor="text1"/>
              </w:rPr>
            </w:pPr>
            <w:r w:rsidRPr="00552956">
              <w:rPr>
                <w:b/>
                <w:bCs/>
                <w:color w:val="000000" w:themeColor="text1"/>
              </w:rPr>
              <w:t>MAP</w:t>
            </w:r>
            <w:r w:rsidR="00001D4F">
              <w:rPr>
                <w:b/>
                <w:bCs/>
                <w:color w:val="000000" w:themeColor="text1"/>
              </w:rPr>
              <w:t>E</w:t>
            </w:r>
          </w:p>
        </w:tc>
        <w:tc>
          <w:tcPr>
            <w:tcW w:w="837" w:type="pct"/>
            <w:tcBorders>
              <w:bottom w:val="single" w:sz="12" w:space="0" w:color="000000"/>
            </w:tcBorders>
            <w:shd w:val="clear" w:color="auto" w:fill="auto"/>
            <w:noWrap/>
            <w:vAlign w:val="center"/>
          </w:tcPr>
          <w:p w14:paraId="14E596CD" w14:textId="24D7BF8D" w:rsidR="00552956" w:rsidRPr="00AC3B0C" w:rsidRDefault="00552956" w:rsidP="00552956">
            <w:pPr>
              <w:jc w:val="center"/>
              <w:rPr>
                <w:b/>
                <w:bCs/>
                <w:color w:val="FF0000"/>
              </w:rPr>
            </w:pPr>
            <w:r w:rsidRPr="00552956">
              <w:rPr>
                <w:b/>
                <w:bCs/>
                <w:color w:val="FF0000"/>
              </w:rPr>
              <w:t>3.06%</w:t>
            </w:r>
          </w:p>
        </w:tc>
        <w:tc>
          <w:tcPr>
            <w:tcW w:w="835" w:type="pct"/>
            <w:tcBorders>
              <w:bottom w:val="single" w:sz="12" w:space="0" w:color="000000"/>
            </w:tcBorders>
            <w:shd w:val="clear" w:color="auto" w:fill="auto"/>
            <w:noWrap/>
            <w:vAlign w:val="center"/>
          </w:tcPr>
          <w:p w14:paraId="46D6F689" w14:textId="7FA7AD12" w:rsidR="00552956" w:rsidRPr="00AC3B0C" w:rsidRDefault="00552956" w:rsidP="00552956">
            <w:pPr>
              <w:jc w:val="center"/>
              <w:rPr>
                <w:b/>
                <w:bCs/>
                <w:color w:val="FF0000"/>
              </w:rPr>
            </w:pPr>
            <w:r w:rsidRPr="00552956">
              <w:rPr>
                <w:b/>
                <w:bCs/>
                <w:color w:val="FF0000"/>
              </w:rPr>
              <w:t>2.35%</w:t>
            </w:r>
          </w:p>
        </w:tc>
        <w:tc>
          <w:tcPr>
            <w:tcW w:w="835" w:type="pct"/>
            <w:tcBorders>
              <w:bottom w:val="single" w:sz="12" w:space="0" w:color="000000"/>
            </w:tcBorders>
            <w:shd w:val="clear" w:color="auto" w:fill="auto"/>
            <w:noWrap/>
            <w:vAlign w:val="center"/>
          </w:tcPr>
          <w:p w14:paraId="3FBCCB39" w14:textId="398D80EA" w:rsidR="00552956" w:rsidRPr="00AC3B0C" w:rsidRDefault="00552956" w:rsidP="00552956">
            <w:pPr>
              <w:jc w:val="center"/>
              <w:rPr>
                <w:b/>
                <w:bCs/>
                <w:color w:val="FF0000"/>
              </w:rPr>
            </w:pPr>
            <w:r w:rsidRPr="00552956">
              <w:rPr>
                <w:b/>
                <w:bCs/>
                <w:color w:val="FF0000"/>
              </w:rPr>
              <w:t>2.03%</w:t>
            </w:r>
          </w:p>
        </w:tc>
        <w:tc>
          <w:tcPr>
            <w:tcW w:w="827" w:type="pct"/>
            <w:tcBorders>
              <w:bottom w:val="single" w:sz="12" w:space="0" w:color="000000"/>
              <w:right w:val="single" w:sz="12" w:space="0" w:color="auto"/>
            </w:tcBorders>
            <w:shd w:val="clear" w:color="auto" w:fill="auto"/>
            <w:noWrap/>
            <w:vAlign w:val="center"/>
          </w:tcPr>
          <w:p w14:paraId="48CD214C" w14:textId="59670A99" w:rsidR="00552956" w:rsidRPr="00AC3B0C" w:rsidRDefault="00552956" w:rsidP="00552956">
            <w:pPr>
              <w:jc w:val="center"/>
              <w:rPr>
                <w:b/>
                <w:bCs/>
                <w:color w:val="FF0000"/>
              </w:rPr>
            </w:pPr>
            <w:r w:rsidRPr="00552956">
              <w:rPr>
                <w:b/>
                <w:bCs/>
                <w:color w:val="FF0000"/>
              </w:rPr>
              <w:t>1.90%</w:t>
            </w:r>
          </w:p>
        </w:tc>
      </w:tr>
    </w:tbl>
    <w:p w14:paraId="41D61180" w14:textId="4A74D077" w:rsidR="00503CA8" w:rsidRPr="00FF50FE" w:rsidRDefault="007A799E" w:rsidP="0082765A">
      <w:pPr>
        <w:pStyle w:val="NormalWeb"/>
        <w:spacing w:after="0" w:afterAutospacing="0"/>
        <w:jc w:val="both"/>
        <w:rPr>
          <w:u w:val="single"/>
        </w:rPr>
      </w:pPr>
      <w:r w:rsidRPr="00FF50FE">
        <w:rPr>
          <w:u w:val="single"/>
        </w:rPr>
        <w:t xml:space="preserve">Interpretation for </w:t>
      </w:r>
      <w:r w:rsidR="00F47E22" w:rsidRPr="00FF50FE">
        <w:rPr>
          <w:u w:val="single"/>
        </w:rPr>
        <w:t>Table</w:t>
      </w:r>
      <w:r w:rsidRPr="00FF50FE">
        <w:rPr>
          <w:u w:val="single"/>
        </w:rPr>
        <w:t xml:space="preserve"> </w:t>
      </w:r>
      <w:r w:rsidR="00F47E22" w:rsidRPr="00FF50FE">
        <w:rPr>
          <w:u w:val="single"/>
        </w:rPr>
        <w:t>1</w:t>
      </w:r>
      <w:r w:rsidRPr="00FF50FE">
        <w:rPr>
          <w:u w:val="single"/>
        </w:rPr>
        <w:t>:</w:t>
      </w:r>
    </w:p>
    <w:p w14:paraId="394012FA" w14:textId="1D73E30C" w:rsidR="00F47E22" w:rsidRDefault="00F47E22" w:rsidP="0082765A">
      <w:pPr>
        <w:pStyle w:val="NormalWeb"/>
        <w:spacing w:before="0" w:beforeAutospacing="0"/>
        <w:jc w:val="both"/>
      </w:pPr>
      <w:r>
        <w:t>For both AAPL and HON, the accuracy of the forecasts improves as the α value increases from 0.15 to 0.55</w:t>
      </w:r>
      <w:r w:rsidR="00001D4F">
        <w:t>,</w:t>
      </w:r>
      <w:r w:rsidR="00001D4F" w:rsidRPr="00001D4F">
        <w:t xml:space="preserve"> </w:t>
      </w:r>
      <w:r w:rsidR="00001D4F">
        <w:t>and then slightly further with α at 0.175.</w:t>
      </w:r>
      <w:r w:rsidR="00001D4F">
        <w:t xml:space="preserve"> </w:t>
      </w:r>
      <w:r w:rsidR="00001D4F">
        <w:t>This is indicated by the decreasing MAD and MAP</w:t>
      </w:r>
      <w:r w:rsidR="00001D4F">
        <w:t>E</w:t>
      </w:r>
      <w:r w:rsidR="00001D4F">
        <w:t xml:space="preserve"> values. In terms of the MAD, the smallest value for AAPL is achieved at α=0.175 (MAD = 2.162) and for HON at α=0.175 (MAD = 3.508). The MAP</w:t>
      </w:r>
      <w:r w:rsidR="00001D4F">
        <w:t xml:space="preserve">E </w:t>
      </w:r>
      <w:r w:rsidR="00001D4F">
        <w:t>values, which adjust the MAD to the scale of the data, also show the smallest errors at α=0.175 for both AAPL and HON</w:t>
      </w:r>
      <w:r w:rsidR="00675020">
        <w:t>.</w:t>
      </w:r>
    </w:p>
    <w:p w14:paraId="63C3D085" w14:textId="4FFC99FD" w:rsidR="00117062" w:rsidRDefault="00001D4F" w:rsidP="0082765A">
      <w:pPr>
        <w:pStyle w:val="NormalWeb"/>
        <w:spacing w:before="0" w:beforeAutospacing="0"/>
        <w:jc w:val="both"/>
      </w:pPr>
      <w:r>
        <w:t>The fact that the lowest MAD and MAP</w:t>
      </w:r>
      <w:r>
        <w:t>E</w:t>
      </w:r>
      <w:r>
        <w:t xml:space="preserve"> for both stocks are achieved at the same α value suggests that both stocks have a similar level of volatility and reaction to new information in the market within the forecasting period.</w:t>
      </w:r>
      <w:r>
        <w:t xml:space="preserve"> The</w:t>
      </w:r>
      <w:r>
        <w:t xml:space="preserve"> chosen α value of 0.175 appears to offer an optimal balance between incorporating recent stock price changes and stabilizing the forecast by </w:t>
      </w:r>
      <w:r>
        <w:t>removing</w:t>
      </w:r>
      <w:r>
        <w:t xml:space="preserve"> out the noise and less significant fluctuations. This balance is critical in producing a reliable forecast that is neither too slow to react to genuine market movements nor too reactive to random variations.</w:t>
      </w:r>
    </w:p>
    <w:p w14:paraId="4EE08E2E" w14:textId="77777777" w:rsidR="00F47E22" w:rsidRDefault="00F47E22" w:rsidP="00117062"/>
    <w:p w14:paraId="394561BA" w14:textId="77777777" w:rsidR="00AC77A2" w:rsidRDefault="00AC77A2" w:rsidP="00117062"/>
    <w:p w14:paraId="2CAA28EA" w14:textId="77777777" w:rsidR="00AC77A2" w:rsidRDefault="00AC77A2" w:rsidP="00117062"/>
    <w:p w14:paraId="66ACAA3E" w14:textId="77777777" w:rsidR="00AC77A2" w:rsidRDefault="00AC77A2" w:rsidP="00117062">
      <w:pPr>
        <w:rPr>
          <w:b/>
          <w:bCs/>
        </w:rPr>
      </w:pPr>
    </w:p>
    <w:p w14:paraId="455960C7" w14:textId="10E28E4F" w:rsidR="00AC77A2" w:rsidRDefault="00AC77A2" w:rsidP="0082765A">
      <w:pPr>
        <w:spacing w:before="240" w:after="240"/>
        <w:rPr>
          <w:b/>
          <w:bCs/>
        </w:rPr>
      </w:pPr>
      <w:r>
        <w:rPr>
          <w:b/>
          <w:bCs/>
        </w:rPr>
        <w:br w:type="page"/>
      </w:r>
    </w:p>
    <w:p w14:paraId="75768922" w14:textId="1B3B4732" w:rsidR="00001D4F" w:rsidRDefault="00001D4F" w:rsidP="0082765A">
      <w:pPr>
        <w:jc w:val="both"/>
      </w:pPr>
      <w:r w:rsidRPr="00001D4F">
        <w:rPr>
          <w:b/>
          <w:bCs/>
        </w:rPr>
        <w:lastRenderedPageBreak/>
        <w:t>(iii)</w:t>
      </w:r>
      <w:r w:rsidRPr="0082765A">
        <w:rPr>
          <w:b/>
          <w:bCs/>
        </w:rPr>
        <w:t xml:space="preserve"> </w:t>
      </w:r>
      <w:r w:rsidRPr="0082765A">
        <w:rPr>
          <w:rStyle w:val="Emphasis"/>
          <w:b/>
          <w:bCs/>
        </w:rPr>
        <w:t>Adjusted Exponential Smoothing Forecast:</w:t>
      </w:r>
      <w:r>
        <w:t xml:space="preserve"> </w:t>
      </w:r>
    </w:p>
    <w:p w14:paraId="241E278D" w14:textId="127CC5CD" w:rsidR="00675020" w:rsidRDefault="00001D4F" w:rsidP="0082765A">
      <w:pPr>
        <w:jc w:val="both"/>
      </w:pPr>
      <w:r>
        <w:t>Using an exponential smoothing forecast with α=0.55, we performed adjusted exponential smoothing with β values of 0.15, 0.25, 0.45, and 0.85. The MAPE for each β value was calculated as:</w:t>
      </w:r>
    </w:p>
    <w:p w14:paraId="321BE7CB" w14:textId="77777777" w:rsidR="00AC77A2" w:rsidRDefault="00AC77A2" w:rsidP="00117062"/>
    <w:p w14:paraId="6C8269F2" w14:textId="2DCBE59E" w:rsidR="00F47E22" w:rsidRPr="00F67312" w:rsidRDefault="00F67312" w:rsidP="00F67312">
      <w:pPr>
        <w:pStyle w:val="NormalWeb"/>
        <w:spacing w:before="0" w:beforeAutospacing="0" w:after="0" w:afterAutospacing="0"/>
        <w:rPr>
          <w:b/>
          <w:bCs/>
          <w:i/>
          <w:iCs/>
        </w:rPr>
      </w:pPr>
      <w:r w:rsidRPr="00FF50FE">
        <w:rPr>
          <w:b/>
          <w:bCs/>
          <w:i/>
          <w:iCs/>
        </w:rPr>
        <w:t xml:space="preserve">Table </w:t>
      </w:r>
      <w:r>
        <w:rPr>
          <w:b/>
          <w:bCs/>
          <w:i/>
          <w:iCs/>
        </w:rPr>
        <w:t>2</w:t>
      </w:r>
      <w:r w:rsidRPr="00FF50FE">
        <w:rPr>
          <w:b/>
          <w:bCs/>
          <w:i/>
          <w:iCs/>
        </w:rPr>
        <w:t xml:space="preserve">: </w:t>
      </w:r>
      <w:r>
        <w:rPr>
          <w:b/>
          <w:bCs/>
          <w:i/>
          <w:iCs/>
        </w:rPr>
        <w:t xml:space="preserve">Adjusted </w:t>
      </w:r>
      <w:r w:rsidRPr="00FF50FE">
        <w:rPr>
          <w:rFonts w:eastAsiaTheme="minorHAnsi"/>
          <w:b/>
          <w:bCs/>
          <w:i/>
          <w:iCs/>
          <w:color w:val="000000"/>
          <w14:ligatures w14:val="standardContextual"/>
        </w:rPr>
        <w:t>Exponential smoothing forecast prices for AAPL and HON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9"/>
        <w:gridCol w:w="1499"/>
        <w:gridCol w:w="1506"/>
        <w:gridCol w:w="1502"/>
        <w:gridCol w:w="1502"/>
        <w:gridCol w:w="1488"/>
      </w:tblGrid>
      <w:tr w:rsidR="00001D4F" w:rsidRPr="00AC3B0C" w14:paraId="075E1780" w14:textId="77777777" w:rsidTr="00FA3941">
        <w:trPr>
          <w:trHeight w:val="420"/>
        </w:trPr>
        <w:tc>
          <w:tcPr>
            <w:tcW w:w="833" w:type="pct"/>
            <w:tcBorders>
              <w:top w:val="single" w:sz="12" w:space="0" w:color="auto"/>
              <w:left w:val="single" w:sz="12" w:space="0" w:color="auto"/>
              <w:bottom w:val="single" w:sz="12" w:space="0" w:color="000000"/>
            </w:tcBorders>
            <w:vAlign w:val="center"/>
          </w:tcPr>
          <w:p w14:paraId="563A49E9" w14:textId="2EBD3F63" w:rsidR="00001D4F" w:rsidRPr="00AC3B0C" w:rsidRDefault="00F67312" w:rsidP="00FA3941">
            <w:pPr>
              <w:jc w:val="center"/>
              <w:rPr>
                <w:b/>
                <w:bCs/>
                <w:color w:val="000000" w:themeColor="text1"/>
              </w:rPr>
            </w:pPr>
            <w:r>
              <w:rPr>
                <w:b/>
                <w:bCs/>
                <w:color w:val="000000" w:themeColor="text1"/>
              </w:rPr>
              <w:t>At alpha 0.55</w:t>
            </w:r>
          </w:p>
        </w:tc>
        <w:tc>
          <w:tcPr>
            <w:tcW w:w="833" w:type="pct"/>
            <w:tcBorders>
              <w:top w:val="single" w:sz="12" w:space="0" w:color="auto"/>
              <w:left w:val="single" w:sz="12" w:space="0" w:color="auto"/>
              <w:bottom w:val="single" w:sz="12" w:space="0" w:color="000000"/>
            </w:tcBorders>
            <w:shd w:val="clear" w:color="auto" w:fill="auto"/>
            <w:noWrap/>
            <w:vAlign w:val="center"/>
          </w:tcPr>
          <w:p w14:paraId="15326429" w14:textId="30D7EAC5" w:rsidR="00001D4F" w:rsidRPr="00AC3B0C" w:rsidRDefault="00F67312" w:rsidP="00FA3941">
            <w:pPr>
              <w:jc w:val="center"/>
              <w:rPr>
                <w:b/>
                <w:bCs/>
                <w:color w:val="FF0000"/>
              </w:rPr>
            </w:pPr>
            <w:r>
              <w:rPr>
                <w:b/>
                <w:bCs/>
                <w:color w:val="000000" w:themeColor="text1"/>
              </w:rPr>
              <w:t>Beta (</w:t>
            </w:r>
            <w:r>
              <w:t>β</w:t>
            </w:r>
            <w:r>
              <w:t>)</w:t>
            </w:r>
          </w:p>
        </w:tc>
        <w:tc>
          <w:tcPr>
            <w:tcW w:w="837" w:type="pct"/>
            <w:tcBorders>
              <w:top w:val="single" w:sz="12" w:space="0" w:color="auto"/>
              <w:bottom w:val="single" w:sz="12" w:space="0" w:color="000000"/>
            </w:tcBorders>
            <w:shd w:val="clear" w:color="auto" w:fill="auto"/>
            <w:noWrap/>
            <w:vAlign w:val="center"/>
          </w:tcPr>
          <w:p w14:paraId="49393DAE" w14:textId="77777777" w:rsidR="00001D4F" w:rsidRPr="00552956" w:rsidRDefault="00001D4F" w:rsidP="00FA3941">
            <w:pPr>
              <w:jc w:val="center"/>
              <w:rPr>
                <w:b/>
                <w:bCs/>
                <w:color w:val="000000" w:themeColor="text1"/>
              </w:rPr>
            </w:pPr>
            <w:r w:rsidRPr="00552956">
              <w:rPr>
                <w:b/>
                <w:bCs/>
                <w:color w:val="000000" w:themeColor="text1"/>
              </w:rPr>
              <w:t>0.15</w:t>
            </w:r>
          </w:p>
        </w:tc>
        <w:tc>
          <w:tcPr>
            <w:tcW w:w="835" w:type="pct"/>
            <w:tcBorders>
              <w:top w:val="single" w:sz="12" w:space="0" w:color="auto"/>
              <w:bottom w:val="single" w:sz="12" w:space="0" w:color="000000"/>
            </w:tcBorders>
            <w:shd w:val="clear" w:color="auto" w:fill="auto"/>
            <w:noWrap/>
            <w:vAlign w:val="center"/>
          </w:tcPr>
          <w:p w14:paraId="34000C4F" w14:textId="5F7624F1" w:rsidR="00001D4F" w:rsidRPr="00552956" w:rsidRDefault="00001D4F" w:rsidP="00FA3941">
            <w:pPr>
              <w:jc w:val="center"/>
              <w:rPr>
                <w:b/>
                <w:bCs/>
                <w:color w:val="000000" w:themeColor="text1"/>
              </w:rPr>
            </w:pPr>
            <w:r w:rsidRPr="00552956">
              <w:rPr>
                <w:b/>
                <w:bCs/>
                <w:color w:val="000000" w:themeColor="text1"/>
              </w:rPr>
              <w:t>0.</w:t>
            </w:r>
            <w:r>
              <w:rPr>
                <w:b/>
                <w:bCs/>
                <w:color w:val="000000" w:themeColor="text1"/>
              </w:rPr>
              <w:t>2</w:t>
            </w:r>
            <w:r w:rsidRPr="00552956">
              <w:rPr>
                <w:b/>
                <w:bCs/>
                <w:color w:val="000000" w:themeColor="text1"/>
              </w:rPr>
              <w:t>5</w:t>
            </w:r>
          </w:p>
        </w:tc>
        <w:tc>
          <w:tcPr>
            <w:tcW w:w="835" w:type="pct"/>
            <w:tcBorders>
              <w:top w:val="single" w:sz="12" w:space="0" w:color="auto"/>
              <w:bottom w:val="single" w:sz="12" w:space="0" w:color="000000"/>
            </w:tcBorders>
            <w:shd w:val="clear" w:color="auto" w:fill="auto"/>
            <w:noWrap/>
            <w:vAlign w:val="center"/>
          </w:tcPr>
          <w:p w14:paraId="00E51336" w14:textId="198D93D8" w:rsidR="00001D4F" w:rsidRPr="00552956" w:rsidRDefault="00001D4F" w:rsidP="00FA3941">
            <w:pPr>
              <w:jc w:val="center"/>
              <w:rPr>
                <w:b/>
                <w:bCs/>
                <w:color w:val="000000" w:themeColor="text1"/>
              </w:rPr>
            </w:pPr>
            <w:r w:rsidRPr="00552956">
              <w:rPr>
                <w:b/>
                <w:bCs/>
                <w:color w:val="000000" w:themeColor="text1"/>
              </w:rPr>
              <w:t>0.</w:t>
            </w:r>
            <w:r w:rsidR="00F67312">
              <w:rPr>
                <w:b/>
                <w:bCs/>
                <w:color w:val="000000" w:themeColor="text1"/>
              </w:rPr>
              <w:t>4</w:t>
            </w:r>
            <w:r w:rsidRPr="00552956">
              <w:rPr>
                <w:b/>
                <w:bCs/>
                <w:color w:val="000000" w:themeColor="text1"/>
              </w:rPr>
              <w:t>5</w:t>
            </w:r>
          </w:p>
        </w:tc>
        <w:tc>
          <w:tcPr>
            <w:tcW w:w="827" w:type="pct"/>
            <w:tcBorders>
              <w:top w:val="single" w:sz="12" w:space="0" w:color="auto"/>
              <w:bottom w:val="single" w:sz="12" w:space="0" w:color="000000"/>
              <w:right w:val="single" w:sz="12" w:space="0" w:color="auto"/>
            </w:tcBorders>
            <w:shd w:val="clear" w:color="auto" w:fill="auto"/>
            <w:noWrap/>
            <w:vAlign w:val="center"/>
          </w:tcPr>
          <w:p w14:paraId="6F1EB04B" w14:textId="7A468FB1" w:rsidR="00001D4F" w:rsidRPr="00552956" w:rsidRDefault="00001D4F" w:rsidP="00FA3941">
            <w:pPr>
              <w:jc w:val="center"/>
              <w:rPr>
                <w:b/>
                <w:bCs/>
                <w:color w:val="000000" w:themeColor="text1"/>
              </w:rPr>
            </w:pPr>
            <w:r w:rsidRPr="00552956">
              <w:rPr>
                <w:b/>
                <w:bCs/>
                <w:color w:val="000000" w:themeColor="text1"/>
              </w:rPr>
              <w:t>0.</w:t>
            </w:r>
            <w:r w:rsidR="00F67312">
              <w:rPr>
                <w:b/>
                <w:bCs/>
                <w:color w:val="000000" w:themeColor="text1"/>
              </w:rPr>
              <w:t>85</w:t>
            </w:r>
          </w:p>
        </w:tc>
      </w:tr>
      <w:tr w:rsidR="00F67312" w:rsidRPr="00AC3B0C" w14:paraId="3BDB8E5B" w14:textId="77777777" w:rsidTr="000F6D55">
        <w:trPr>
          <w:trHeight w:val="420"/>
        </w:trPr>
        <w:tc>
          <w:tcPr>
            <w:tcW w:w="833" w:type="pct"/>
            <w:vMerge w:val="restart"/>
            <w:tcBorders>
              <w:left w:val="single" w:sz="12" w:space="0" w:color="auto"/>
            </w:tcBorders>
            <w:vAlign w:val="center"/>
          </w:tcPr>
          <w:p w14:paraId="74990365" w14:textId="41939C13" w:rsidR="00F67312" w:rsidRPr="00AC3B0C" w:rsidRDefault="00F67312" w:rsidP="00FA3941">
            <w:pPr>
              <w:jc w:val="center"/>
              <w:rPr>
                <w:b/>
                <w:bCs/>
                <w:color w:val="000000" w:themeColor="text1"/>
              </w:rPr>
            </w:pPr>
            <w:r>
              <w:rPr>
                <w:b/>
                <w:bCs/>
                <w:color w:val="000000" w:themeColor="text1"/>
              </w:rPr>
              <w:t>MAPE</w:t>
            </w:r>
          </w:p>
        </w:tc>
        <w:tc>
          <w:tcPr>
            <w:tcW w:w="833" w:type="pct"/>
            <w:tcBorders>
              <w:left w:val="single" w:sz="12" w:space="0" w:color="auto"/>
              <w:bottom w:val="single" w:sz="12" w:space="0" w:color="000000"/>
            </w:tcBorders>
            <w:shd w:val="clear" w:color="auto" w:fill="auto"/>
            <w:noWrap/>
            <w:vAlign w:val="center"/>
            <w:hideMark/>
          </w:tcPr>
          <w:p w14:paraId="2D243A6B" w14:textId="404B4E3C" w:rsidR="00F67312" w:rsidRPr="00AC3B0C" w:rsidRDefault="00F67312" w:rsidP="00FA3941">
            <w:pPr>
              <w:jc w:val="center"/>
              <w:rPr>
                <w:b/>
                <w:bCs/>
                <w:color w:val="000000" w:themeColor="text1"/>
              </w:rPr>
            </w:pPr>
            <w:r>
              <w:rPr>
                <w:b/>
                <w:bCs/>
                <w:color w:val="000000" w:themeColor="text1"/>
              </w:rPr>
              <w:t>AAPL</w:t>
            </w:r>
          </w:p>
        </w:tc>
        <w:tc>
          <w:tcPr>
            <w:tcW w:w="837" w:type="pct"/>
            <w:tcBorders>
              <w:bottom w:val="single" w:sz="12" w:space="0" w:color="000000"/>
            </w:tcBorders>
            <w:shd w:val="clear" w:color="auto" w:fill="auto"/>
            <w:noWrap/>
            <w:vAlign w:val="center"/>
            <w:hideMark/>
          </w:tcPr>
          <w:p w14:paraId="61E1F6F5" w14:textId="25DE54BC" w:rsidR="00F67312" w:rsidRPr="00001D4F" w:rsidRDefault="00F67312" w:rsidP="00001D4F">
            <w:pPr>
              <w:jc w:val="center"/>
              <w:rPr>
                <w:b/>
                <w:bCs/>
                <w:color w:val="FF0000"/>
              </w:rPr>
            </w:pPr>
            <w:r w:rsidRPr="00001D4F">
              <w:rPr>
                <w:b/>
                <w:bCs/>
                <w:color w:val="FF0000"/>
              </w:rPr>
              <w:t>1.97%</w:t>
            </w:r>
          </w:p>
        </w:tc>
        <w:tc>
          <w:tcPr>
            <w:tcW w:w="835" w:type="pct"/>
            <w:tcBorders>
              <w:bottom w:val="single" w:sz="12" w:space="0" w:color="000000"/>
            </w:tcBorders>
            <w:shd w:val="clear" w:color="auto" w:fill="auto"/>
            <w:noWrap/>
            <w:vAlign w:val="center"/>
            <w:hideMark/>
          </w:tcPr>
          <w:p w14:paraId="24E5A749" w14:textId="77777777" w:rsidR="00F67312" w:rsidRPr="00F67312" w:rsidRDefault="00F67312" w:rsidP="00001D4F">
            <w:pPr>
              <w:jc w:val="center"/>
              <w:rPr>
                <w:b/>
                <w:bCs/>
                <w:color w:val="FF0000"/>
              </w:rPr>
            </w:pPr>
            <w:r w:rsidRPr="00F67312">
              <w:rPr>
                <w:b/>
                <w:bCs/>
                <w:color w:val="FF0000"/>
              </w:rPr>
              <w:t>1.95%</w:t>
            </w:r>
          </w:p>
          <w:p w14:paraId="34CBF7E9" w14:textId="5CA34A47" w:rsidR="00F67312" w:rsidRPr="00AC3B0C" w:rsidRDefault="00F67312" w:rsidP="00FA3941">
            <w:pPr>
              <w:jc w:val="center"/>
              <w:rPr>
                <w:b/>
                <w:bCs/>
                <w:color w:val="FF0000"/>
              </w:rPr>
            </w:pPr>
          </w:p>
        </w:tc>
        <w:tc>
          <w:tcPr>
            <w:tcW w:w="835" w:type="pct"/>
            <w:tcBorders>
              <w:bottom w:val="single" w:sz="12" w:space="0" w:color="000000"/>
            </w:tcBorders>
            <w:shd w:val="clear" w:color="auto" w:fill="auto"/>
            <w:noWrap/>
            <w:vAlign w:val="center"/>
            <w:hideMark/>
          </w:tcPr>
          <w:p w14:paraId="0FF2767F" w14:textId="43557EF3" w:rsidR="00F67312" w:rsidRPr="00F67312" w:rsidRDefault="00F67312" w:rsidP="00001D4F">
            <w:pPr>
              <w:jc w:val="center"/>
              <w:rPr>
                <w:b/>
                <w:bCs/>
                <w:color w:val="FF0000"/>
              </w:rPr>
            </w:pPr>
            <w:r w:rsidRPr="00F67312">
              <w:rPr>
                <w:b/>
                <w:bCs/>
                <w:color w:val="FF0000"/>
              </w:rPr>
              <w:t>1.94%</w:t>
            </w:r>
          </w:p>
        </w:tc>
        <w:tc>
          <w:tcPr>
            <w:tcW w:w="827" w:type="pct"/>
            <w:tcBorders>
              <w:bottom w:val="single" w:sz="12" w:space="0" w:color="000000"/>
              <w:right w:val="single" w:sz="12" w:space="0" w:color="000000"/>
            </w:tcBorders>
            <w:shd w:val="clear" w:color="auto" w:fill="auto"/>
            <w:noWrap/>
            <w:vAlign w:val="center"/>
            <w:hideMark/>
          </w:tcPr>
          <w:p w14:paraId="63B8993C" w14:textId="3F23D019" w:rsidR="00F67312" w:rsidRPr="00F67312" w:rsidRDefault="00F67312" w:rsidP="00001D4F">
            <w:pPr>
              <w:jc w:val="center"/>
              <w:rPr>
                <w:b/>
                <w:bCs/>
                <w:color w:val="FF0000"/>
              </w:rPr>
            </w:pPr>
            <w:r w:rsidRPr="00F67312">
              <w:rPr>
                <w:b/>
                <w:bCs/>
                <w:color w:val="FF0000"/>
              </w:rPr>
              <w:t>1.98%</w:t>
            </w:r>
          </w:p>
        </w:tc>
      </w:tr>
      <w:tr w:rsidR="00F67312" w:rsidRPr="00AC3B0C" w14:paraId="46ABD3FF" w14:textId="77777777" w:rsidTr="00FA3941">
        <w:trPr>
          <w:trHeight w:val="420"/>
        </w:trPr>
        <w:tc>
          <w:tcPr>
            <w:tcW w:w="833" w:type="pct"/>
            <w:vMerge/>
            <w:tcBorders>
              <w:left w:val="single" w:sz="12" w:space="0" w:color="auto"/>
              <w:bottom w:val="single" w:sz="12" w:space="0" w:color="000000"/>
            </w:tcBorders>
            <w:vAlign w:val="center"/>
          </w:tcPr>
          <w:p w14:paraId="2479363A" w14:textId="1F788D1B" w:rsidR="00F67312" w:rsidRPr="00552956" w:rsidRDefault="00F67312" w:rsidP="00FA3941">
            <w:pPr>
              <w:jc w:val="center"/>
              <w:rPr>
                <w:b/>
                <w:bCs/>
                <w:color w:val="000000" w:themeColor="text1"/>
              </w:rPr>
            </w:pPr>
          </w:p>
        </w:tc>
        <w:tc>
          <w:tcPr>
            <w:tcW w:w="833" w:type="pct"/>
            <w:tcBorders>
              <w:left w:val="single" w:sz="12" w:space="0" w:color="auto"/>
              <w:bottom w:val="single" w:sz="12" w:space="0" w:color="000000"/>
            </w:tcBorders>
            <w:shd w:val="clear" w:color="auto" w:fill="auto"/>
            <w:noWrap/>
            <w:vAlign w:val="center"/>
          </w:tcPr>
          <w:p w14:paraId="59221E45" w14:textId="34E0AD5A" w:rsidR="00F67312" w:rsidRPr="00AC3B0C" w:rsidRDefault="00F67312" w:rsidP="00FA3941">
            <w:pPr>
              <w:jc w:val="center"/>
              <w:rPr>
                <w:b/>
                <w:bCs/>
                <w:color w:val="000000" w:themeColor="text1"/>
              </w:rPr>
            </w:pPr>
            <w:r>
              <w:rPr>
                <w:b/>
                <w:bCs/>
                <w:color w:val="000000" w:themeColor="text1"/>
              </w:rPr>
              <w:t>HON</w:t>
            </w:r>
          </w:p>
        </w:tc>
        <w:tc>
          <w:tcPr>
            <w:tcW w:w="837" w:type="pct"/>
            <w:tcBorders>
              <w:bottom w:val="single" w:sz="12" w:space="0" w:color="000000"/>
            </w:tcBorders>
            <w:shd w:val="clear" w:color="auto" w:fill="auto"/>
            <w:noWrap/>
            <w:vAlign w:val="center"/>
          </w:tcPr>
          <w:p w14:paraId="0CF016AF" w14:textId="189EF709" w:rsidR="00F67312" w:rsidRPr="00F67312" w:rsidRDefault="00F67312" w:rsidP="00001D4F">
            <w:pPr>
              <w:jc w:val="center"/>
              <w:rPr>
                <w:b/>
                <w:bCs/>
                <w:color w:val="FF0000"/>
              </w:rPr>
            </w:pPr>
            <w:r w:rsidRPr="00F67312">
              <w:rPr>
                <w:b/>
                <w:bCs/>
                <w:color w:val="FF0000"/>
              </w:rPr>
              <w:t>1.98%</w:t>
            </w:r>
          </w:p>
        </w:tc>
        <w:tc>
          <w:tcPr>
            <w:tcW w:w="835" w:type="pct"/>
            <w:tcBorders>
              <w:bottom w:val="single" w:sz="12" w:space="0" w:color="000000"/>
            </w:tcBorders>
            <w:shd w:val="clear" w:color="auto" w:fill="auto"/>
            <w:noWrap/>
            <w:vAlign w:val="center"/>
          </w:tcPr>
          <w:p w14:paraId="71A2F457" w14:textId="30D609AD" w:rsidR="00F67312" w:rsidRPr="00F67312" w:rsidRDefault="00F67312" w:rsidP="00F67312">
            <w:pPr>
              <w:jc w:val="center"/>
              <w:rPr>
                <w:b/>
                <w:bCs/>
                <w:color w:val="FF0000"/>
              </w:rPr>
            </w:pPr>
            <w:r w:rsidRPr="00F67312">
              <w:rPr>
                <w:b/>
                <w:bCs/>
                <w:color w:val="FF0000"/>
              </w:rPr>
              <w:t>1.94%</w:t>
            </w:r>
          </w:p>
        </w:tc>
        <w:tc>
          <w:tcPr>
            <w:tcW w:w="835" w:type="pct"/>
            <w:tcBorders>
              <w:bottom w:val="single" w:sz="12" w:space="0" w:color="000000"/>
            </w:tcBorders>
            <w:shd w:val="clear" w:color="auto" w:fill="auto"/>
            <w:noWrap/>
            <w:vAlign w:val="center"/>
          </w:tcPr>
          <w:p w14:paraId="1384935C" w14:textId="31964DE4" w:rsidR="00F67312" w:rsidRPr="00F67312" w:rsidRDefault="00F67312" w:rsidP="00F67312">
            <w:pPr>
              <w:jc w:val="center"/>
              <w:rPr>
                <w:b/>
                <w:bCs/>
                <w:color w:val="FF0000"/>
              </w:rPr>
            </w:pPr>
            <w:r w:rsidRPr="00F67312">
              <w:rPr>
                <w:b/>
                <w:bCs/>
                <w:color w:val="FF0000"/>
              </w:rPr>
              <w:t>1.89%</w:t>
            </w:r>
          </w:p>
        </w:tc>
        <w:tc>
          <w:tcPr>
            <w:tcW w:w="827" w:type="pct"/>
            <w:tcBorders>
              <w:bottom w:val="single" w:sz="12" w:space="0" w:color="000000"/>
              <w:right w:val="single" w:sz="12" w:space="0" w:color="auto"/>
            </w:tcBorders>
            <w:shd w:val="clear" w:color="auto" w:fill="auto"/>
            <w:noWrap/>
            <w:vAlign w:val="center"/>
          </w:tcPr>
          <w:p w14:paraId="6015FD85" w14:textId="541AC028" w:rsidR="00F67312" w:rsidRPr="00AC3B0C" w:rsidRDefault="00F67312" w:rsidP="00FA3941">
            <w:pPr>
              <w:jc w:val="center"/>
              <w:rPr>
                <w:b/>
                <w:bCs/>
                <w:color w:val="FF0000"/>
              </w:rPr>
            </w:pPr>
            <w:r w:rsidRPr="00552956">
              <w:rPr>
                <w:b/>
                <w:bCs/>
                <w:color w:val="FF0000"/>
              </w:rPr>
              <w:t>1.</w:t>
            </w:r>
            <w:r>
              <w:rPr>
                <w:b/>
                <w:bCs/>
                <w:color w:val="FF0000"/>
              </w:rPr>
              <w:t>85</w:t>
            </w:r>
            <w:r w:rsidRPr="00552956">
              <w:rPr>
                <w:b/>
                <w:bCs/>
                <w:color w:val="FF0000"/>
              </w:rPr>
              <w:t>%</w:t>
            </w:r>
          </w:p>
        </w:tc>
      </w:tr>
    </w:tbl>
    <w:p w14:paraId="5EEB9C79" w14:textId="7CDA4869" w:rsidR="00BA7A5F" w:rsidRDefault="00F67312" w:rsidP="0082765A">
      <w:pPr>
        <w:pStyle w:val="NormalWeb"/>
        <w:spacing w:after="0" w:afterAutospacing="0"/>
        <w:jc w:val="both"/>
        <w:rPr>
          <w:u w:val="single"/>
        </w:rPr>
      </w:pPr>
      <w:r w:rsidRPr="00FF50FE">
        <w:rPr>
          <w:u w:val="single"/>
        </w:rPr>
        <w:t xml:space="preserve">Interpretation for Table </w:t>
      </w:r>
      <w:r>
        <w:rPr>
          <w:u w:val="single"/>
        </w:rPr>
        <w:t>2</w:t>
      </w:r>
      <w:r w:rsidRPr="00FF50FE">
        <w:rPr>
          <w:u w:val="single"/>
        </w:rPr>
        <w:t>:</w:t>
      </w:r>
    </w:p>
    <w:p w14:paraId="31C5BB45" w14:textId="04E04117" w:rsidR="00BA7A5F" w:rsidRPr="00B1713F" w:rsidRDefault="00BA7A5F" w:rsidP="0082765A">
      <w:pPr>
        <w:pStyle w:val="NormalWeb"/>
        <w:spacing w:before="0" w:beforeAutospacing="0" w:after="0" w:afterAutospacing="0"/>
        <w:jc w:val="both"/>
        <w:rPr>
          <w:u w:val="single"/>
        </w:rPr>
      </w:pPr>
      <w:r w:rsidRPr="00B1713F">
        <w:t xml:space="preserve">For </w:t>
      </w:r>
      <w:r w:rsidRPr="00B1713F">
        <w:rPr>
          <w:rStyle w:val="Strong"/>
          <w:b w:val="0"/>
          <w:bCs w:val="0"/>
        </w:rPr>
        <w:t>AAPL</w:t>
      </w:r>
      <w:r w:rsidRPr="00B1713F">
        <w:rPr>
          <w:b/>
          <w:bCs/>
        </w:rPr>
        <w:t>,</w:t>
      </w:r>
      <w:r w:rsidRPr="00B1713F">
        <w:t xml:space="preserve"> the MAPE values are lowest at β=0.45 (1.94%), suggesting that this beta level best accounts for the trend in the AAPL stock price data.</w:t>
      </w:r>
      <w:r w:rsidRPr="00B1713F">
        <w:t xml:space="preserve"> </w:t>
      </w:r>
      <w:r w:rsidRPr="00B1713F">
        <w:t xml:space="preserve">For </w:t>
      </w:r>
      <w:r w:rsidRPr="00B1713F">
        <w:rPr>
          <w:rStyle w:val="Strong"/>
          <w:b w:val="0"/>
          <w:bCs w:val="0"/>
        </w:rPr>
        <w:t>HON</w:t>
      </w:r>
      <w:r w:rsidRPr="00B1713F">
        <w:rPr>
          <w:b/>
          <w:bCs/>
        </w:rPr>
        <w:t>,</w:t>
      </w:r>
      <w:r w:rsidRPr="00B1713F">
        <w:t xml:space="preserve"> the MAPE decreases as the β value increases, with the lowest MAPE achieved at β=0.85 (1.85%). This indicates that HON stock prices benefit from a model that places a heavier weight on the trend component.</w:t>
      </w:r>
    </w:p>
    <w:p w14:paraId="0D2A70F7" w14:textId="77777777" w:rsidR="00BA7A5F" w:rsidRPr="00B1713F" w:rsidRDefault="00BA7A5F" w:rsidP="0082765A">
      <w:pPr>
        <w:pStyle w:val="NormalWeb"/>
        <w:jc w:val="both"/>
      </w:pPr>
      <w:r w:rsidRPr="00B1713F">
        <w:t>The optimal β values for AAPL and HON are different, reflecting their distinct price behaviors during the forecasting period. AAPL's price trend, while present, did not change drastically, which is why a mid-range β value was most effective. HON's stock price, however, seemed to have exhibited a more definitive trend, which required a higher β value to accurately predict future prices.</w:t>
      </w:r>
    </w:p>
    <w:p w14:paraId="1522CA29" w14:textId="72B23CC4" w:rsidR="00AC77A2" w:rsidRPr="00AC77A2" w:rsidRDefault="00BA7A5F" w:rsidP="0082765A">
      <w:pPr>
        <w:pStyle w:val="NormalWeb"/>
        <w:jc w:val="both"/>
      </w:pPr>
      <w:r w:rsidRPr="00B1713F">
        <w:t>The β parameter is indicative of how much importance the model places on the trend when adjusting forecasts. The value of β that leads to the most accurate forecast can often be a reflection of the stock's recent historical trend behavior. AAPL's lower optimal β value suggests a more stable trend, while HON's higher optimal β value indicates a stronger and perhaps more volatile trend.</w:t>
      </w:r>
      <w:r w:rsidR="00AC77A2">
        <w:rPr>
          <w:b/>
          <w:bCs/>
          <w:color w:val="000000" w:themeColor="text1"/>
          <w:sz w:val="28"/>
          <w:szCs w:val="28"/>
          <w:highlight w:val="yellow"/>
          <w:u w:val="single"/>
        </w:rPr>
        <w:br w:type="page"/>
      </w:r>
    </w:p>
    <w:p w14:paraId="6FAEC794" w14:textId="1FBF9E26" w:rsidR="009961B1" w:rsidRPr="00AC77A2" w:rsidRDefault="00A4627C" w:rsidP="00AC77A2">
      <w:pPr>
        <w:spacing w:before="240" w:after="240"/>
        <w:rPr>
          <w:b/>
          <w:bCs/>
          <w:color w:val="000000" w:themeColor="text1"/>
          <w:sz w:val="28"/>
          <w:szCs w:val="28"/>
          <w:highlight w:val="yellow"/>
          <w:u w:val="single"/>
        </w:rPr>
      </w:pPr>
      <w:r w:rsidRPr="00347A5F">
        <w:rPr>
          <w:b/>
          <w:bCs/>
          <w:color w:val="000000" w:themeColor="text1"/>
          <w:sz w:val="28"/>
          <w:szCs w:val="28"/>
          <w:highlight w:val="yellow"/>
          <w:u w:val="single"/>
        </w:rPr>
        <w:lastRenderedPageBreak/>
        <w:t>Part 2:</w:t>
      </w:r>
      <w:r w:rsidR="00514ED4" w:rsidRPr="00347A5F">
        <w:rPr>
          <w:b/>
          <w:bCs/>
          <w:color w:val="000000" w:themeColor="text1"/>
          <w:sz w:val="28"/>
          <w:szCs w:val="28"/>
          <w:highlight w:val="yellow"/>
          <w:u w:val="single"/>
        </w:rPr>
        <w:t xml:space="preserve"> </w:t>
      </w:r>
      <w:r w:rsidR="00514ED4" w:rsidRPr="00347A5F">
        <w:rPr>
          <w:b/>
          <w:bCs/>
          <w:color w:val="000000" w:themeColor="text1"/>
          <w:sz w:val="28"/>
          <w:szCs w:val="28"/>
          <w:highlight w:val="yellow"/>
          <w:u w:val="single"/>
        </w:rPr>
        <w:t>Time Series using R</w:t>
      </w:r>
    </w:p>
    <w:p w14:paraId="7E3343BE" w14:textId="77777777" w:rsidR="00117062" w:rsidRDefault="00117062" w:rsidP="009961B1">
      <w:pPr>
        <w:rPr>
          <w:b/>
          <w:bCs/>
          <w:color w:val="000000" w:themeColor="text1"/>
          <w:u w:val="single"/>
        </w:rPr>
      </w:pPr>
    </w:p>
    <w:p w14:paraId="42BC3084" w14:textId="31260441" w:rsidR="00117062" w:rsidRDefault="00514ED4" w:rsidP="0082765A">
      <w:pPr>
        <w:jc w:val="both"/>
      </w:pPr>
      <w:r>
        <w:t xml:space="preserve">Data for HON and AAPL </w:t>
      </w:r>
      <w:r>
        <w:t>are</w:t>
      </w:r>
      <w:r>
        <w:t xml:space="preserve"> downloaded using the </w:t>
      </w:r>
      <w:proofErr w:type="spellStart"/>
      <w:r w:rsidRPr="00514ED4">
        <w:rPr>
          <w:rStyle w:val="HTMLCode"/>
          <w:rFonts w:ascii="Times New Roman" w:hAnsi="Times New Roman" w:cs="Times New Roman"/>
          <w:sz w:val="24"/>
          <w:szCs w:val="24"/>
        </w:rPr>
        <w:t>quantmod</w:t>
      </w:r>
      <w:proofErr w:type="spellEnd"/>
      <w:r>
        <w:t xml:space="preserve"> package in R.</w:t>
      </w:r>
      <w:r>
        <w:t xml:space="preserve"> We fit the </w:t>
      </w:r>
      <w:proofErr w:type="gramStart"/>
      <w:r>
        <w:t>AR(</w:t>
      </w:r>
      <w:proofErr w:type="gramEnd"/>
      <w:r>
        <w:t xml:space="preserve">1) models to both HON and AAPL time series data using the </w:t>
      </w:r>
      <w:proofErr w:type="spellStart"/>
      <w:r w:rsidRPr="00514ED4">
        <w:t>arima</w:t>
      </w:r>
      <w:proofErr w:type="spellEnd"/>
      <w:r w:rsidRPr="00514ED4">
        <w:t>()</w:t>
      </w:r>
      <w:r>
        <w:t xml:space="preserve"> function.</w:t>
      </w:r>
      <w:r>
        <w:t xml:space="preserve"> </w:t>
      </w:r>
    </w:p>
    <w:p w14:paraId="785359A5" w14:textId="77777777" w:rsidR="00675020" w:rsidRDefault="00675020" w:rsidP="0082765A">
      <w:pPr>
        <w:jc w:val="both"/>
      </w:pPr>
    </w:p>
    <w:p w14:paraId="729AF125" w14:textId="77777777" w:rsidR="00AC77A2" w:rsidRDefault="00AC77A2" w:rsidP="0082765A">
      <w:pPr>
        <w:jc w:val="both"/>
      </w:pPr>
    </w:p>
    <w:p w14:paraId="77E26EB5" w14:textId="60AC1965" w:rsidR="00675020" w:rsidRDefault="00675020" w:rsidP="0082765A">
      <w:pPr>
        <w:pStyle w:val="ListParagraph"/>
        <w:numPr>
          <w:ilvl w:val="0"/>
          <w:numId w:val="56"/>
        </w:numPr>
        <w:ind w:left="270" w:hanging="270"/>
        <w:jc w:val="both"/>
        <w:rPr>
          <w:b/>
          <w:bCs/>
        </w:rPr>
      </w:pPr>
      <w:r w:rsidRPr="00AC77A2">
        <w:rPr>
          <w:b/>
          <w:bCs/>
        </w:rPr>
        <w:t>Below is the ARIMA Model for both stocks.</w:t>
      </w:r>
    </w:p>
    <w:p w14:paraId="298AC0F7" w14:textId="77777777" w:rsidR="00AC77A2" w:rsidRPr="00AC77A2" w:rsidRDefault="00AC77A2" w:rsidP="00AC77A2">
      <w:pPr>
        <w:rPr>
          <w:b/>
          <w:bCs/>
        </w:rPr>
      </w:pPr>
    </w:p>
    <w:p w14:paraId="1D5C6BD1" w14:textId="77777777" w:rsidR="00AC77A2" w:rsidRDefault="00AC77A2" w:rsidP="00117062"/>
    <w:p w14:paraId="5330E960" w14:textId="2493FC6A" w:rsidR="00514ED4" w:rsidRPr="00347A5F" w:rsidRDefault="00611E12" w:rsidP="00611E12">
      <w:pPr>
        <w:pStyle w:val="NormalWeb"/>
        <w:spacing w:before="0" w:beforeAutospacing="0" w:after="0" w:afterAutospacing="0"/>
        <w:rPr>
          <w:i/>
          <w:iCs/>
        </w:rPr>
      </w:pPr>
      <w:r w:rsidRPr="00347A5F">
        <w:rPr>
          <w:i/>
          <w:iCs/>
        </w:rPr>
        <w:t>Figure</w:t>
      </w:r>
      <w:r w:rsidRPr="00347A5F">
        <w:rPr>
          <w:i/>
          <w:iCs/>
        </w:rPr>
        <w:t xml:space="preserve"> 2: </w:t>
      </w:r>
      <w:r w:rsidR="00347A5F" w:rsidRPr="00347A5F">
        <w:rPr>
          <w:rFonts w:eastAsiaTheme="minorHAnsi"/>
          <w:i/>
          <w:iCs/>
          <w:color w:val="000000"/>
          <w14:ligatures w14:val="standardContextual"/>
        </w:rPr>
        <w:t>ARIMA (</w:t>
      </w:r>
      <w:r w:rsidRPr="00347A5F">
        <w:rPr>
          <w:rFonts w:eastAsiaTheme="minorHAnsi"/>
          <w:i/>
          <w:iCs/>
          <w:color w:val="000000"/>
          <w14:ligatures w14:val="standardContextual"/>
        </w:rPr>
        <w:t xml:space="preserve">1,0,0) Price Forecast with Non-Zero Mean for </w:t>
      </w:r>
      <w:r w:rsidRPr="00347A5F">
        <w:rPr>
          <w:rFonts w:eastAsiaTheme="minorHAnsi"/>
          <w:b/>
          <w:bCs/>
          <w:i/>
          <w:iCs/>
          <w:color w:val="000000"/>
          <w14:ligatures w14:val="standardContextual"/>
        </w:rPr>
        <w:t>HON</w:t>
      </w:r>
      <w:r w:rsidRPr="00347A5F">
        <w:rPr>
          <w:rFonts w:eastAsiaTheme="minorHAnsi"/>
          <w:i/>
          <w:iCs/>
          <w:color w:val="000000"/>
          <w14:ligatures w14:val="standardContextual"/>
        </w:rPr>
        <w:t xml:space="preserve"> Over Time</w:t>
      </w:r>
      <w:r w:rsidRPr="00347A5F">
        <w:t xml:space="preserve"> </w:t>
      </w:r>
    </w:p>
    <w:p w14:paraId="5D04A71F" w14:textId="2DB33CA0" w:rsidR="00AC77A2" w:rsidRDefault="00B37EED" w:rsidP="00AC77A2">
      <w:pPr>
        <w:rPr>
          <w:u w:val="single"/>
        </w:rPr>
      </w:pPr>
      <w:r w:rsidRPr="00B37EED">
        <w:rPr>
          <w:noProof/>
          <w14:ligatures w14:val="standardContextual"/>
        </w:rPr>
        <w:drawing>
          <wp:inline distT="0" distB="0" distL="0" distR="0" wp14:anchorId="5029964C" wp14:editId="6CED3CE8">
            <wp:extent cx="5113020" cy="2986466"/>
            <wp:effectExtent l="0" t="0" r="5080" b="0"/>
            <wp:docPr id="11614648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464840" name="Picture 1161464840"/>
                    <pic:cNvPicPr/>
                  </pic:nvPicPr>
                  <pic:blipFill>
                    <a:blip r:embed="rId12">
                      <a:extLst>
                        <a:ext uri="{28A0092B-C50C-407E-A947-70E740481C1C}">
                          <a14:useLocalDpi xmlns:a14="http://schemas.microsoft.com/office/drawing/2010/main" val="0"/>
                        </a:ext>
                      </a:extLst>
                    </a:blip>
                    <a:stretch>
                      <a:fillRect/>
                    </a:stretch>
                  </pic:blipFill>
                  <pic:spPr>
                    <a:xfrm>
                      <a:off x="0" y="0"/>
                      <a:ext cx="5119807" cy="2990430"/>
                    </a:xfrm>
                    <a:prstGeom prst="rect">
                      <a:avLst/>
                    </a:prstGeom>
                  </pic:spPr>
                </pic:pic>
              </a:graphicData>
            </a:graphic>
          </wp:inline>
        </w:drawing>
      </w:r>
    </w:p>
    <w:p w14:paraId="1DB03128" w14:textId="77777777" w:rsidR="00AC77A2" w:rsidRDefault="00AC77A2" w:rsidP="00AC77A2">
      <w:pPr>
        <w:rPr>
          <w:u w:val="single"/>
        </w:rPr>
      </w:pPr>
    </w:p>
    <w:p w14:paraId="6F7445D1" w14:textId="168C4142" w:rsidR="00611E12" w:rsidRPr="00AC77A2" w:rsidRDefault="00611E12" w:rsidP="0082765A">
      <w:pPr>
        <w:jc w:val="both"/>
      </w:pPr>
      <w:r w:rsidRPr="00FF50FE">
        <w:rPr>
          <w:u w:val="single"/>
        </w:rPr>
        <w:t xml:space="preserve">Interpretation for </w:t>
      </w:r>
      <w:r>
        <w:rPr>
          <w:u w:val="single"/>
        </w:rPr>
        <w:t>Figure</w:t>
      </w:r>
      <w:r w:rsidRPr="00FF50FE">
        <w:rPr>
          <w:u w:val="single"/>
        </w:rPr>
        <w:t xml:space="preserve"> </w:t>
      </w:r>
      <w:r>
        <w:rPr>
          <w:u w:val="single"/>
        </w:rPr>
        <w:t>2</w:t>
      </w:r>
      <w:r w:rsidRPr="00FF50FE">
        <w:rPr>
          <w:u w:val="single"/>
        </w:rPr>
        <w:t>:</w:t>
      </w:r>
    </w:p>
    <w:p w14:paraId="0F42271F" w14:textId="3E6E4D49" w:rsidR="00675020" w:rsidRDefault="00675020" w:rsidP="0082765A">
      <w:pPr>
        <w:jc w:val="both"/>
      </w:pPr>
      <w:r w:rsidRPr="00675020">
        <w:t xml:space="preserve">The above graph shows </w:t>
      </w:r>
      <w:r w:rsidR="00611E12" w:rsidRPr="00675020">
        <w:t>ARIMA</w:t>
      </w:r>
      <w:r w:rsidR="00347A5F">
        <w:t xml:space="preserve"> </w:t>
      </w:r>
      <w:r w:rsidR="00611E12" w:rsidRPr="00675020">
        <w:t>(1,0,0) model</w:t>
      </w:r>
      <w:r w:rsidRPr="00675020">
        <w:t xml:space="preserve"> performed</w:t>
      </w:r>
      <w:r w:rsidR="00611E12" w:rsidRPr="00675020">
        <w:t>, which includes an autoregressive term of order 1, no differencing, and no moving average component.</w:t>
      </w:r>
      <w:r w:rsidR="00611E12" w:rsidRPr="00675020">
        <w:t xml:space="preserve"> </w:t>
      </w:r>
      <w:r w:rsidR="00611E12" w:rsidRPr="00675020">
        <w:t>The black line</w:t>
      </w:r>
      <w:r>
        <w:t xml:space="preserve"> </w:t>
      </w:r>
      <w:r w:rsidR="00611E12" w:rsidRPr="00675020">
        <w:t>exhibits some volatility and several peaks and troughs over time. It does not appear to have a consistent upward or downward trend.</w:t>
      </w:r>
      <w:r w:rsidR="00611E12" w:rsidRPr="00675020">
        <w:t xml:space="preserve"> </w:t>
      </w:r>
    </w:p>
    <w:p w14:paraId="683D3422" w14:textId="77777777" w:rsidR="00675020" w:rsidRDefault="00675020" w:rsidP="0082765A">
      <w:pPr>
        <w:jc w:val="both"/>
      </w:pPr>
    </w:p>
    <w:p w14:paraId="4F66407D" w14:textId="70DCB454" w:rsidR="00611E12" w:rsidRPr="00675020" w:rsidRDefault="00611E12" w:rsidP="0082765A">
      <w:pPr>
        <w:jc w:val="both"/>
      </w:pPr>
      <w:r w:rsidRPr="00675020">
        <w:t xml:space="preserve">The forecast is indicated by a solid blue line that extends into the grey-shaded area. The blue line appears to be relatively flat, suggesting the model predicts that the future prices will remain around the same level as the last observed price. This is typical for an </w:t>
      </w:r>
      <w:proofErr w:type="gramStart"/>
      <w:r w:rsidRPr="00675020">
        <w:t>ARIMA(</w:t>
      </w:r>
      <w:proofErr w:type="gramEnd"/>
      <w:r w:rsidRPr="00675020">
        <w:t>1,0,0) model, where future values are a function of the last known value and a random shock.</w:t>
      </w:r>
      <w:r w:rsidR="00675020">
        <w:t xml:space="preserve"> </w:t>
      </w:r>
      <w:r w:rsidRPr="00675020">
        <w:t>The shaded area around the forecast represents the confidence intervals, likely at different levels such as 95% and 80%. The intervals widen as the forecast extends further out in time, reflecting increased uncertainty in the predictions as we move away from the last known data point.</w:t>
      </w:r>
    </w:p>
    <w:p w14:paraId="18EE01B7" w14:textId="77777777" w:rsidR="00675020" w:rsidRDefault="00675020" w:rsidP="0082765A">
      <w:pPr>
        <w:jc w:val="both"/>
        <w:rPr>
          <w:rStyle w:val="Strong"/>
          <w:b w:val="0"/>
          <w:bCs w:val="0"/>
        </w:rPr>
      </w:pPr>
    </w:p>
    <w:p w14:paraId="627F49AE" w14:textId="08AFCB5D" w:rsidR="00AC77A2" w:rsidRDefault="00AC77A2" w:rsidP="0082765A">
      <w:pPr>
        <w:jc w:val="both"/>
        <w:rPr>
          <w:highlight w:val="yellow"/>
        </w:rPr>
      </w:pPr>
      <w:r>
        <w:rPr>
          <w:highlight w:val="yellow"/>
        </w:rPr>
        <w:br w:type="page"/>
      </w:r>
    </w:p>
    <w:p w14:paraId="03F11D0A" w14:textId="30AB5E97" w:rsidR="00AC77A2" w:rsidRPr="00B37EED" w:rsidRDefault="00611E12" w:rsidP="00347A5F">
      <w:r w:rsidRPr="00347A5F">
        <w:rPr>
          <w:i/>
          <w:iCs/>
        </w:rPr>
        <w:lastRenderedPageBreak/>
        <w:t xml:space="preserve">Figure </w:t>
      </w:r>
      <w:r w:rsidRPr="00347A5F">
        <w:rPr>
          <w:i/>
          <w:iCs/>
        </w:rPr>
        <w:t>3</w:t>
      </w:r>
      <w:r w:rsidRPr="00347A5F">
        <w:rPr>
          <w:i/>
          <w:iCs/>
        </w:rPr>
        <w:t xml:space="preserve">: </w:t>
      </w:r>
      <w:proofErr w:type="gramStart"/>
      <w:r w:rsidRPr="00347A5F">
        <w:rPr>
          <w:rFonts w:eastAsiaTheme="minorHAnsi"/>
          <w:i/>
          <w:iCs/>
          <w:color w:val="000000"/>
          <w14:ligatures w14:val="standardContextual"/>
        </w:rPr>
        <w:t>ARIMA(</w:t>
      </w:r>
      <w:proofErr w:type="gramEnd"/>
      <w:r w:rsidRPr="00347A5F">
        <w:rPr>
          <w:rFonts w:eastAsiaTheme="minorHAnsi"/>
          <w:i/>
          <w:iCs/>
          <w:color w:val="000000"/>
          <w14:ligatures w14:val="standardContextual"/>
        </w:rPr>
        <w:t xml:space="preserve">1,0,0) Price Forecast with Non-Zero Mean for </w:t>
      </w:r>
      <w:r w:rsidRPr="00347A5F">
        <w:rPr>
          <w:rFonts w:eastAsiaTheme="minorHAnsi"/>
          <w:b/>
          <w:bCs/>
          <w:i/>
          <w:iCs/>
          <w:color w:val="000000"/>
          <w14:ligatures w14:val="standardContextual"/>
        </w:rPr>
        <w:t>AAPL</w:t>
      </w:r>
      <w:r w:rsidRPr="00347A5F">
        <w:rPr>
          <w:rFonts w:eastAsiaTheme="minorHAnsi"/>
          <w:i/>
          <w:iCs/>
          <w:color w:val="000000"/>
          <w14:ligatures w14:val="standardContextual"/>
        </w:rPr>
        <w:t xml:space="preserve"> Over Time</w:t>
      </w:r>
      <w:r w:rsidRPr="00347A5F">
        <w:t xml:space="preserve"> </w:t>
      </w:r>
    </w:p>
    <w:p w14:paraId="46E94256" w14:textId="3F48C87C" w:rsidR="00AC77A2" w:rsidRDefault="00B37EED" w:rsidP="00347A5F">
      <w:pPr>
        <w:rPr>
          <w:u w:val="single"/>
        </w:rPr>
      </w:pPr>
      <w:r w:rsidRPr="00B37EED">
        <w:rPr>
          <w:noProof/>
          <w14:ligatures w14:val="standardContextual"/>
        </w:rPr>
        <w:drawing>
          <wp:inline distT="0" distB="0" distL="0" distR="0" wp14:anchorId="66401CE1" wp14:editId="7F0BA05E">
            <wp:extent cx="5211236" cy="3003550"/>
            <wp:effectExtent l="0" t="0" r="0" b="0"/>
            <wp:docPr id="1344292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92342" name="Picture 1344292342"/>
                    <pic:cNvPicPr/>
                  </pic:nvPicPr>
                  <pic:blipFill rotWithShape="1">
                    <a:blip r:embed="rId13">
                      <a:extLst>
                        <a:ext uri="{28A0092B-C50C-407E-A947-70E740481C1C}">
                          <a14:useLocalDpi xmlns:a14="http://schemas.microsoft.com/office/drawing/2010/main" val="0"/>
                        </a:ext>
                      </a:extLst>
                    </a:blip>
                    <a:srcRect t="3430"/>
                    <a:stretch/>
                  </pic:blipFill>
                  <pic:spPr bwMode="auto">
                    <a:xfrm>
                      <a:off x="0" y="0"/>
                      <a:ext cx="5239777" cy="3020000"/>
                    </a:xfrm>
                    <a:prstGeom prst="rect">
                      <a:avLst/>
                    </a:prstGeom>
                    <a:ln>
                      <a:noFill/>
                    </a:ln>
                    <a:extLst>
                      <a:ext uri="{53640926-AAD7-44D8-BBD7-CCE9431645EC}">
                        <a14:shadowObscured xmlns:a14="http://schemas.microsoft.com/office/drawing/2010/main"/>
                      </a:ext>
                    </a:extLst>
                  </pic:spPr>
                </pic:pic>
              </a:graphicData>
            </a:graphic>
          </wp:inline>
        </w:drawing>
      </w:r>
    </w:p>
    <w:p w14:paraId="29628C99" w14:textId="53F3B165" w:rsidR="00347A5F" w:rsidRDefault="00611E12" w:rsidP="0082765A">
      <w:pPr>
        <w:jc w:val="both"/>
        <w:rPr>
          <w:u w:val="single"/>
        </w:rPr>
      </w:pPr>
      <w:r w:rsidRPr="00FF50FE">
        <w:rPr>
          <w:u w:val="single"/>
        </w:rPr>
        <w:t xml:space="preserve">Interpretation for </w:t>
      </w:r>
      <w:r>
        <w:rPr>
          <w:u w:val="single"/>
        </w:rPr>
        <w:t>Figure</w:t>
      </w:r>
      <w:r w:rsidRPr="00FF50FE">
        <w:rPr>
          <w:u w:val="single"/>
        </w:rPr>
        <w:t xml:space="preserve"> </w:t>
      </w:r>
      <w:r>
        <w:rPr>
          <w:u w:val="single"/>
        </w:rPr>
        <w:t>3</w:t>
      </w:r>
      <w:r w:rsidRPr="00FF50FE">
        <w:rPr>
          <w:u w:val="single"/>
        </w:rPr>
        <w:t>:</w:t>
      </w:r>
    </w:p>
    <w:p w14:paraId="0061DFE8" w14:textId="4BEFB5E0" w:rsidR="00611E12" w:rsidRDefault="00611E12" w:rsidP="0082765A">
      <w:pPr>
        <w:jc w:val="both"/>
      </w:pPr>
      <w:r>
        <w:t>The</w:t>
      </w:r>
      <w:r w:rsidR="00347A5F">
        <w:t xml:space="preserve"> </w:t>
      </w:r>
      <w:r>
        <w:t>plot features a solid black line representing historical price data and transitions into a forecast with a solid blue line and a grey shaded area that likely represents confidence intervals.</w:t>
      </w:r>
      <w:r w:rsidR="00347A5F">
        <w:t xml:space="preserve"> </w:t>
      </w:r>
      <w:r>
        <w:t>The historical data</w:t>
      </w:r>
      <w:r w:rsidR="00347A5F">
        <w:t xml:space="preserve"> (black line)</w:t>
      </w:r>
      <w:r>
        <w:t xml:space="preserve"> shows a generally upward trend over time, suggesting that the price has been increasing. There are fluctuations throughout, but the overall direction is positive.</w:t>
      </w:r>
    </w:p>
    <w:p w14:paraId="45D7834C" w14:textId="4621264B" w:rsidR="00611E12" w:rsidRDefault="00611E12" w:rsidP="0082765A">
      <w:pPr>
        <w:pStyle w:val="NormalWeb"/>
        <w:jc w:val="both"/>
      </w:pPr>
      <w:r>
        <w:t xml:space="preserve">The forecast starts at the end of the historical data and projects forward. The forecast line is relatively flat compared to the historical data, suggesting that the model predicts the price will stabilize around the last observed value. This stabilization is a common characteristic of the </w:t>
      </w:r>
      <w:proofErr w:type="gramStart"/>
      <w:r>
        <w:t>AR(</w:t>
      </w:r>
      <w:proofErr w:type="gramEnd"/>
      <w:r>
        <w:t>1) model, where future values are predicted primarily based on the most recent value, with the effect of past values diminishing.</w:t>
      </w:r>
    </w:p>
    <w:p w14:paraId="01C69D2B" w14:textId="371D03A8" w:rsidR="00347A5F" w:rsidRDefault="00611E12" w:rsidP="0082765A">
      <w:pPr>
        <w:pStyle w:val="NormalWeb"/>
        <w:jc w:val="both"/>
      </w:pPr>
      <w:r>
        <w:t>The grey shaded area around the forecast indicates the confidence intervals, which provide a range where future prices are likely to fall. The widening of the confidence interval into the future reflects greater uncertainty as the forecast extends further from the last observed data point.</w:t>
      </w:r>
    </w:p>
    <w:p w14:paraId="7254A724" w14:textId="77777777" w:rsidR="00347A5F" w:rsidRDefault="00347A5F" w:rsidP="0082765A">
      <w:pPr>
        <w:jc w:val="both"/>
      </w:pPr>
    </w:p>
    <w:p w14:paraId="6858FB26" w14:textId="77777777" w:rsidR="00AC77A2" w:rsidRDefault="00AC77A2" w:rsidP="0082765A">
      <w:pPr>
        <w:jc w:val="both"/>
      </w:pPr>
    </w:p>
    <w:p w14:paraId="15842C51" w14:textId="77777777" w:rsidR="00AC77A2" w:rsidRDefault="00AC77A2" w:rsidP="0082765A">
      <w:pPr>
        <w:jc w:val="both"/>
      </w:pPr>
    </w:p>
    <w:p w14:paraId="0A2D1DCF" w14:textId="77777777" w:rsidR="00AC77A2" w:rsidRDefault="00AC77A2" w:rsidP="0082765A">
      <w:pPr>
        <w:jc w:val="both"/>
      </w:pPr>
    </w:p>
    <w:p w14:paraId="5F120A68" w14:textId="2729389C" w:rsidR="00347A5F" w:rsidRDefault="00611E12" w:rsidP="0082765A">
      <w:pPr>
        <w:jc w:val="both"/>
        <w:rPr>
          <w:b/>
          <w:bCs/>
        </w:rPr>
      </w:pPr>
      <w:r w:rsidRPr="00611E12">
        <w:rPr>
          <w:b/>
          <w:bCs/>
        </w:rPr>
        <w:t>(iii)</w:t>
      </w:r>
      <w:r w:rsidR="00347A5F">
        <w:rPr>
          <w:b/>
          <w:bCs/>
        </w:rPr>
        <w:t xml:space="preserve"> Test for Stationarity</w:t>
      </w:r>
    </w:p>
    <w:p w14:paraId="15A10F94" w14:textId="190E0585" w:rsidR="00E160C4" w:rsidRDefault="00611E12" w:rsidP="0082765A">
      <w:pPr>
        <w:jc w:val="both"/>
      </w:pPr>
      <w:r w:rsidRPr="00611E12">
        <w:t xml:space="preserve">Stationarity was tested using the Augmented Dickey-Fuller (ADF) test provided by the </w:t>
      </w:r>
      <w:proofErr w:type="spellStart"/>
      <w:r w:rsidRPr="00611E12">
        <w:rPr>
          <w:rStyle w:val="HTMLCode"/>
          <w:rFonts w:ascii="Times New Roman" w:hAnsi="Times New Roman" w:cs="Times New Roman"/>
          <w:sz w:val="24"/>
          <w:szCs w:val="24"/>
        </w:rPr>
        <w:t>tseries</w:t>
      </w:r>
      <w:proofErr w:type="spellEnd"/>
      <w:r w:rsidRPr="00611E12">
        <w:t xml:space="preserve"> package.</w:t>
      </w:r>
      <w:r w:rsidR="00347A5F">
        <w:t xml:space="preserve"> </w:t>
      </w:r>
      <w:r w:rsidR="00E160C4">
        <w:t>HON and AAPL both showed signs of non-stationarity in their raw form as per the ADF test, necessitating differencing to achieve stationarity.</w:t>
      </w:r>
    </w:p>
    <w:p w14:paraId="0A1FFEFD" w14:textId="77777777" w:rsidR="00E160C4" w:rsidRDefault="00E160C4" w:rsidP="00117062"/>
    <w:p w14:paraId="1A112B2E" w14:textId="0B3299AB" w:rsidR="00347A5F" w:rsidRDefault="00347A5F" w:rsidP="005D7F9A">
      <w:pPr>
        <w:spacing w:before="240" w:after="240"/>
      </w:pPr>
    </w:p>
    <w:p w14:paraId="6859B85D" w14:textId="77777777" w:rsidR="005D7F9A" w:rsidRDefault="005D7F9A" w:rsidP="005D7F9A">
      <w:pPr>
        <w:spacing w:before="240" w:after="240"/>
      </w:pPr>
    </w:p>
    <w:p w14:paraId="115796D3" w14:textId="6D76730A" w:rsidR="00E160C4" w:rsidRPr="00347A5F" w:rsidRDefault="00E160C4" w:rsidP="0082765A">
      <w:pPr>
        <w:jc w:val="both"/>
        <w:rPr>
          <w:b/>
          <w:bCs/>
        </w:rPr>
      </w:pPr>
      <w:r w:rsidRPr="00347A5F">
        <w:rPr>
          <w:b/>
          <w:bCs/>
        </w:rPr>
        <w:lastRenderedPageBreak/>
        <w:t>(</w:t>
      </w:r>
      <w:r w:rsidRPr="00347A5F">
        <w:rPr>
          <w:b/>
          <w:bCs/>
        </w:rPr>
        <w:t>iv</w:t>
      </w:r>
      <w:r w:rsidRPr="00347A5F">
        <w:rPr>
          <w:b/>
          <w:bCs/>
        </w:rPr>
        <w:t xml:space="preserve">) Model </w:t>
      </w:r>
      <w:r w:rsidR="00AC77A2">
        <w:rPr>
          <w:b/>
          <w:bCs/>
        </w:rPr>
        <w:t xml:space="preserve">using </w:t>
      </w:r>
      <w:proofErr w:type="gramStart"/>
      <w:r w:rsidR="00AC77A2">
        <w:rPr>
          <w:b/>
          <w:bCs/>
        </w:rPr>
        <w:t>auto.arima</w:t>
      </w:r>
      <w:proofErr w:type="gramEnd"/>
      <w:r w:rsidR="00AC77A2">
        <w:rPr>
          <w:b/>
          <w:bCs/>
        </w:rPr>
        <w:t>()</w:t>
      </w:r>
      <w:r w:rsidRPr="00347A5F">
        <w:rPr>
          <w:b/>
          <w:bCs/>
        </w:rPr>
        <w:t>:</w:t>
      </w:r>
    </w:p>
    <w:p w14:paraId="65A444D2" w14:textId="3048E97D" w:rsidR="00347A5F" w:rsidRPr="00AC77A2" w:rsidRDefault="00E160C4" w:rsidP="0082765A">
      <w:pPr>
        <w:jc w:val="both"/>
      </w:pPr>
      <w:proofErr w:type="gramStart"/>
      <w:r w:rsidRPr="00347A5F">
        <w:t>auto.arima</w:t>
      </w:r>
      <w:proofErr w:type="gramEnd"/>
      <w:r w:rsidRPr="00347A5F">
        <w:t>()</w:t>
      </w:r>
      <w:r>
        <w:t xml:space="preserve"> selected an ARIMA(</w:t>
      </w:r>
      <w:proofErr w:type="spellStart"/>
      <w:r>
        <w:t>p,d,q</w:t>
      </w:r>
      <w:proofErr w:type="spellEnd"/>
      <w:r>
        <w:t>) model for both HON and AAPL with different orders, indicating differing levels of autoregression, integration, and moving average components</w:t>
      </w:r>
      <w:r w:rsidR="00AC77A2">
        <w:t>. The model</w:t>
      </w:r>
      <w:r w:rsidR="00347A5F">
        <w:t xml:space="preserve"> selected </w:t>
      </w:r>
      <w:r w:rsidR="00AC77A2">
        <w:t xml:space="preserve">is </w:t>
      </w:r>
      <w:r w:rsidR="00347A5F" w:rsidRPr="00AC77A2">
        <w:rPr>
          <w:u w:val="single"/>
        </w:rPr>
        <w:t>random walk method</w:t>
      </w:r>
      <w:r w:rsidR="00347A5F">
        <w:t>.</w:t>
      </w:r>
      <w:r w:rsidR="00AC77A2">
        <w:t xml:space="preserve"> </w:t>
      </w:r>
      <w:r w:rsidR="00AC77A2">
        <w:t>This model is typically used when the series is a random walk or has a unit root, meaning today's price is the best predictor of tomorrow's price, with only the changes being random.</w:t>
      </w:r>
      <w:r w:rsidR="00AC77A2">
        <w:t xml:space="preserve"> </w:t>
      </w:r>
      <w:r w:rsidR="00347A5F" w:rsidRPr="00AC77A2">
        <w:t xml:space="preserve">Below </w:t>
      </w:r>
      <w:r w:rsidR="00347A5F" w:rsidRPr="00AC77A2">
        <w:t>are</w:t>
      </w:r>
      <w:r w:rsidR="00347A5F" w:rsidRPr="00AC77A2">
        <w:t xml:space="preserve"> the </w:t>
      </w:r>
      <w:r w:rsidR="00347A5F" w:rsidRPr="00AC77A2">
        <w:t>Auto-</w:t>
      </w:r>
      <w:r w:rsidR="00347A5F" w:rsidRPr="00AC77A2">
        <w:t>ARIMA Model</w:t>
      </w:r>
      <w:r w:rsidR="00347A5F" w:rsidRPr="00AC77A2">
        <w:t>s</w:t>
      </w:r>
      <w:r w:rsidR="00347A5F" w:rsidRPr="00AC77A2">
        <w:t xml:space="preserve"> for both stocks.</w:t>
      </w:r>
    </w:p>
    <w:p w14:paraId="5CCDFE5E" w14:textId="77777777" w:rsidR="00347A5F" w:rsidRDefault="00347A5F" w:rsidP="00117062"/>
    <w:p w14:paraId="3BEE620E" w14:textId="77777777" w:rsidR="00514ED4" w:rsidRDefault="00514ED4" w:rsidP="00117062"/>
    <w:p w14:paraId="504EC5F2" w14:textId="00CA0601" w:rsidR="00514ED4" w:rsidRDefault="00E160C4" w:rsidP="00347A5F">
      <w:pPr>
        <w:pStyle w:val="NormalWeb"/>
        <w:spacing w:before="0" w:beforeAutospacing="0" w:after="0" w:afterAutospacing="0"/>
      </w:pPr>
      <w:r w:rsidRPr="00347A5F">
        <w:rPr>
          <w:i/>
          <w:iCs/>
        </w:rPr>
        <w:t xml:space="preserve">Figure </w:t>
      </w:r>
      <w:r w:rsidRPr="00347A5F">
        <w:rPr>
          <w:i/>
          <w:iCs/>
        </w:rPr>
        <w:t>4</w:t>
      </w:r>
      <w:r w:rsidRPr="00347A5F">
        <w:rPr>
          <w:i/>
          <w:iCs/>
        </w:rPr>
        <w:t xml:space="preserve">: Honeywell Price Forecast with </w:t>
      </w:r>
      <w:proofErr w:type="gramStart"/>
      <w:r w:rsidRPr="00347A5F">
        <w:rPr>
          <w:i/>
          <w:iCs/>
        </w:rPr>
        <w:t>ARIMA(</w:t>
      </w:r>
      <w:proofErr w:type="gramEnd"/>
      <w:r w:rsidRPr="00347A5F">
        <w:rPr>
          <w:i/>
          <w:iCs/>
        </w:rPr>
        <w:t>0,1,0)</w:t>
      </w:r>
      <w:r w:rsidR="00A6218C">
        <w:rPr>
          <w:i/>
          <w:iCs/>
        </w:rPr>
        <w:t xml:space="preserve"> without Drift</w:t>
      </w:r>
      <w:r w:rsidRPr="00347A5F">
        <w:rPr>
          <w:i/>
          <w:iCs/>
        </w:rPr>
        <w:t xml:space="preserve"> Model</w:t>
      </w:r>
    </w:p>
    <w:p w14:paraId="71300E98" w14:textId="0D6FC98A" w:rsidR="00AC77A2" w:rsidRDefault="00B37EED" w:rsidP="00AC77A2">
      <w:pPr>
        <w:rPr>
          <w:u w:val="single"/>
        </w:rPr>
      </w:pPr>
      <w:r w:rsidRPr="00B37EED">
        <w:rPr>
          <w:noProof/>
          <w14:ligatures w14:val="standardContextual"/>
        </w:rPr>
        <w:drawing>
          <wp:inline distT="0" distB="0" distL="0" distR="0" wp14:anchorId="52D82B90" wp14:editId="14935A2C">
            <wp:extent cx="5029200" cy="2934164"/>
            <wp:effectExtent l="0" t="0" r="0" b="0"/>
            <wp:docPr id="9850717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07170" name="Picture 98507170"/>
                    <pic:cNvPicPr/>
                  </pic:nvPicPr>
                  <pic:blipFill>
                    <a:blip r:embed="rId14">
                      <a:extLst>
                        <a:ext uri="{28A0092B-C50C-407E-A947-70E740481C1C}">
                          <a14:useLocalDpi xmlns:a14="http://schemas.microsoft.com/office/drawing/2010/main" val="0"/>
                        </a:ext>
                      </a:extLst>
                    </a:blip>
                    <a:stretch>
                      <a:fillRect/>
                    </a:stretch>
                  </pic:blipFill>
                  <pic:spPr>
                    <a:xfrm>
                      <a:off x="0" y="0"/>
                      <a:ext cx="5058739" cy="2951398"/>
                    </a:xfrm>
                    <a:prstGeom prst="rect">
                      <a:avLst/>
                    </a:prstGeom>
                  </pic:spPr>
                </pic:pic>
              </a:graphicData>
            </a:graphic>
          </wp:inline>
        </w:drawing>
      </w:r>
    </w:p>
    <w:p w14:paraId="10E5735A" w14:textId="77777777" w:rsidR="00AC77A2" w:rsidRDefault="00AC77A2" w:rsidP="00AC77A2">
      <w:pPr>
        <w:rPr>
          <w:u w:val="single"/>
        </w:rPr>
      </w:pPr>
    </w:p>
    <w:p w14:paraId="43C6BD87" w14:textId="5BACD7F3" w:rsidR="00E160C4" w:rsidRPr="00AC77A2" w:rsidRDefault="00E160C4" w:rsidP="0082765A">
      <w:pPr>
        <w:jc w:val="both"/>
      </w:pPr>
      <w:r w:rsidRPr="00FF50FE">
        <w:rPr>
          <w:u w:val="single"/>
        </w:rPr>
        <w:t xml:space="preserve">Interpretation for </w:t>
      </w:r>
      <w:r>
        <w:rPr>
          <w:u w:val="single"/>
        </w:rPr>
        <w:t>Figure</w:t>
      </w:r>
      <w:r w:rsidRPr="00FF50FE">
        <w:rPr>
          <w:u w:val="single"/>
        </w:rPr>
        <w:t xml:space="preserve"> </w:t>
      </w:r>
      <w:r>
        <w:rPr>
          <w:u w:val="single"/>
        </w:rPr>
        <w:t>4</w:t>
      </w:r>
      <w:r w:rsidRPr="00FF50FE">
        <w:rPr>
          <w:u w:val="single"/>
        </w:rPr>
        <w:t>:</w:t>
      </w:r>
    </w:p>
    <w:p w14:paraId="42D66380" w14:textId="783224E4" w:rsidR="00E160C4" w:rsidRDefault="00E160C4" w:rsidP="0082765A">
      <w:pPr>
        <w:jc w:val="both"/>
      </w:pPr>
      <w:r>
        <w:t xml:space="preserve">The plot displays the historical price data for Honeywell, shown in a solid black line. It shows fluctuation in prices over time, with both upward and downward movements, reaching a peak before the last observed data point. An </w:t>
      </w:r>
      <w:proofErr w:type="gramStart"/>
      <w:r>
        <w:t>ARIMA(</w:t>
      </w:r>
      <w:proofErr w:type="gramEnd"/>
      <w:r>
        <w:t xml:space="preserve">0,1,0) model is used for forecasting, implying no autoregressive (AR) terms and no moving average (MA) terms, but one order of differencing (I). This model suggests that the future price will change from the previous price by a random amount that is not necessarily related to any historical prices. </w:t>
      </w:r>
    </w:p>
    <w:p w14:paraId="4DFB747A" w14:textId="77777777" w:rsidR="00AC77A2" w:rsidRDefault="00AC77A2" w:rsidP="0082765A">
      <w:pPr>
        <w:jc w:val="both"/>
        <w:rPr>
          <w:rStyle w:val="Strong"/>
          <w:b w:val="0"/>
          <w:bCs w:val="0"/>
        </w:rPr>
      </w:pPr>
    </w:p>
    <w:p w14:paraId="35B3F7D9" w14:textId="7BD5A3D7" w:rsidR="00E160C4" w:rsidRDefault="00AC77A2" w:rsidP="0082765A">
      <w:pPr>
        <w:jc w:val="both"/>
      </w:pPr>
      <w:r w:rsidRPr="00AC77A2">
        <w:rPr>
          <w:rStyle w:val="Strong"/>
          <w:b w:val="0"/>
          <w:bCs w:val="0"/>
        </w:rPr>
        <w:t xml:space="preserve">The </w:t>
      </w:r>
      <w:r w:rsidR="00E160C4">
        <w:t xml:space="preserve">forecast is visualized by a solid blue horizontal line extending from the last historical data point into the future. Since an </w:t>
      </w:r>
      <w:proofErr w:type="gramStart"/>
      <w:r w:rsidR="00E160C4">
        <w:t>ARIMA(</w:t>
      </w:r>
      <w:proofErr w:type="gramEnd"/>
      <w:r w:rsidR="00E160C4">
        <w:t>0,1,0) model is used, the forecasted price does not show a trend but remains constant, except for the random fluctuations not captured in the model.</w:t>
      </w:r>
    </w:p>
    <w:p w14:paraId="20BABE23" w14:textId="77777777" w:rsidR="00AC77A2" w:rsidRDefault="00AC77A2" w:rsidP="0082765A">
      <w:pPr>
        <w:jc w:val="both"/>
        <w:rPr>
          <w:rStyle w:val="Strong"/>
        </w:rPr>
      </w:pPr>
    </w:p>
    <w:p w14:paraId="54380B36" w14:textId="0157CF5C" w:rsidR="00E160C4" w:rsidRDefault="00E160C4" w:rsidP="0082765A">
      <w:pPr>
        <w:jc w:val="both"/>
      </w:pPr>
      <w:r>
        <w:t>The shaded area indicates the confidence intervals for the forecast, reflecting the uncertainty associated with predictions. The confidence intervals widen as the forecast extends further into the future, which is typical as the uncertainty in the forecast increases with time.</w:t>
      </w:r>
    </w:p>
    <w:p w14:paraId="30F5E9BC" w14:textId="77777777" w:rsidR="00514ED4" w:rsidRDefault="00514ED4" w:rsidP="00117062"/>
    <w:p w14:paraId="6413251A" w14:textId="77777777" w:rsidR="00514ED4" w:rsidRDefault="00514ED4" w:rsidP="00117062"/>
    <w:p w14:paraId="0EEA5AD3" w14:textId="77777777" w:rsidR="00AC77A2" w:rsidRDefault="00AC77A2" w:rsidP="00AC77A2">
      <w:pPr>
        <w:pStyle w:val="NormalWeb"/>
        <w:spacing w:before="0" w:beforeAutospacing="0" w:after="0" w:afterAutospacing="0"/>
        <w:rPr>
          <w:b/>
          <w:bCs/>
          <w:i/>
          <w:iCs/>
        </w:rPr>
      </w:pPr>
    </w:p>
    <w:p w14:paraId="4CCB0FE8" w14:textId="77777777" w:rsidR="00AC77A2" w:rsidRDefault="00AC77A2">
      <w:pPr>
        <w:spacing w:before="240" w:after="240"/>
        <w:ind w:left="851"/>
        <w:rPr>
          <w:i/>
          <w:iCs/>
        </w:rPr>
      </w:pPr>
      <w:r>
        <w:rPr>
          <w:i/>
          <w:iCs/>
        </w:rPr>
        <w:br w:type="page"/>
      </w:r>
    </w:p>
    <w:p w14:paraId="41CE196B" w14:textId="3BEDF91B" w:rsidR="00514ED4" w:rsidRPr="00AC77A2" w:rsidRDefault="00E160C4" w:rsidP="00AC77A2">
      <w:pPr>
        <w:pStyle w:val="NormalWeb"/>
        <w:spacing w:before="0" w:beforeAutospacing="0" w:after="0" w:afterAutospacing="0"/>
      </w:pPr>
      <w:r w:rsidRPr="00AC77A2">
        <w:rPr>
          <w:i/>
          <w:iCs/>
        </w:rPr>
        <w:lastRenderedPageBreak/>
        <w:t xml:space="preserve">Figure </w:t>
      </w:r>
      <w:r w:rsidRPr="00AC77A2">
        <w:rPr>
          <w:i/>
          <w:iCs/>
        </w:rPr>
        <w:t>5</w:t>
      </w:r>
      <w:r w:rsidRPr="00AC77A2">
        <w:rPr>
          <w:i/>
          <w:iCs/>
        </w:rPr>
        <w:t xml:space="preserve">: </w:t>
      </w:r>
      <w:r w:rsidRPr="00AC77A2">
        <w:rPr>
          <w:b/>
          <w:bCs/>
          <w:i/>
          <w:iCs/>
        </w:rPr>
        <w:t>Apple</w:t>
      </w:r>
      <w:r w:rsidRPr="00AC77A2">
        <w:rPr>
          <w:i/>
          <w:iCs/>
        </w:rPr>
        <w:t xml:space="preserve"> Price Forecast with </w:t>
      </w:r>
      <w:proofErr w:type="gramStart"/>
      <w:r w:rsidRPr="00AC77A2">
        <w:rPr>
          <w:i/>
          <w:iCs/>
        </w:rPr>
        <w:t>ARIMA(</w:t>
      </w:r>
      <w:proofErr w:type="gramEnd"/>
      <w:r w:rsidRPr="00AC77A2">
        <w:rPr>
          <w:i/>
          <w:iCs/>
        </w:rPr>
        <w:t>0,1,0)</w:t>
      </w:r>
      <w:r w:rsidR="00A6218C">
        <w:rPr>
          <w:i/>
          <w:iCs/>
        </w:rPr>
        <w:t xml:space="preserve"> with drift</w:t>
      </w:r>
      <w:r w:rsidRPr="00AC77A2">
        <w:rPr>
          <w:i/>
          <w:iCs/>
        </w:rPr>
        <w:t xml:space="preserve"> Model</w:t>
      </w:r>
    </w:p>
    <w:p w14:paraId="66044ECA" w14:textId="28C597F6" w:rsidR="00A87F44" w:rsidRDefault="00A6218C" w:rsidP="00AC77A2">
      <w:pPr>
        <w:rPr>
          <w:u w:val="single"/>
        </w:rPr>
      </w:pPr>
      <w:r w:rsidRPr="00A6218C">
        <w:rPr>
          <w:noProof/>
          <w14:ligatures w14:val="standardContextual"/>
        </w:rPr>
        <w:drawing>
          <wp:inline distT="0" distB="0" distL="0" distR="0" wp14:anchorId="16F39448" wp14:editId="3F637D27">
            <wp:extent cx="5143500" cy="2926769"/>
            <wp:effectExtent l="0" t="0" r="0" b="0"/>
            <wp:docPr id="383021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021668" name="Picture 383021668"/>
                    <pic:cNvPicPr/>
                  </pic:nvPicPr>
                  <pic:blipFill rotWithShape="1">
                    <a:blip r:embed="rId15">
                      <a:extLst>
                        <a:ext uri="{28A0092B-C50C-407E-A947-70E740481C1C}">
                          <a14:useLocalDpi xmlns:a14="http://schemas.microsoft.com/office/drawing/2010/main" val="0"/>
                        </a:ext>
                      </a:extLst>
                    </a:blip>
                    <a:srcRect b="1514"/>
                    <a:stretch/>
                  </pic:blipFill>
                  <pic:spPr bwMode="auto">
                    <a:xfrm>
                      <a:off x="0" y="0"/>
                      <a:ext cx="5166420" cy="2939811"/>
                    </a:xfrm>
                    <a:prstGeom prst="rect">
                      <a:avLst/>
                    </a:prstGeom>
                    <a:ln>
                      <a:noFill/>
                    </a:ln>
                    <a:extLst>
                      <a:ext uri="{53640926-AAD7-44D8-BBD7-CCE9431645EC}">
                        <a14:shadowObscured xmlns:a14="http://schemas.microsoft.com/office/drawing/2010/main"/>
                      </a:ext>
                    </a:extLst>
                  </pic:spPr>
                </pic:pic>
              </a:graphicData>
            </a:graphic>
          </wp:inline>
        </w:drawing>
      </w:r>
    </w:p>
    <w:p w14:paraId="5F25CC76" w14:textId="77777777" w:rsidR="00A87F44" w:rsidRDefault="00A87F44" w:rsidP="00A87F44"/>
    <w:p w14:paraId="45190749" w14:textId="7E716467" w:rsidR="00E160C4" w:rsidRPr="00A87F44" w:rsidRDefault="00E160C4" w:rsidP="0082765A">
      <w:pPr>
        <w:jc w:val="both"/>
        <w:rPr>
          <w:u w:val="single"/>
        </w:rPr>
      </w:pPr>
      <w:r w:rsidRPr="00A87F44">
        <w:rPr>
          <w:u w:val="single"/>
        </w:rPr>
        <w:t xml:space="preserve">Interpretation for Figure </w:t>
      </w:r>
      <w:r w:rsidRPr="00A87F44">
        <w:rPr>
          <w:u w:val="single"/>
        </w:rPr>
        <w:t>5</w:t>
      </w:r>
      <w:r w:rsidRPr="00A87F44">
        <w:rPr>
          <w:u w:val="single"/>
        </w:rPr>
        <w:t>:</w:t>
      </w:r>
    </w:p>
    <w:p w14:paraId="26B127BA" w14:textId="5E5641D2" w:rsidR="00E160C4" w:rsidRDefault="00E160C4" w:rsidP="0082765A">
      <w:pPr>
        <w:jc w:val="both"/>
      </w:pPr>
      <w:r>
        <w:t xml:space="preserve">The black line </w:t>
      </w:r>
      <w:r w:rsidR="00A87F44">
        <w:t xml:space="preserve">in the above graph </w:t>
      </w:r>
      <w:r>
        <w:t xml:space="preserve">represents the historical price data. The data </w:t>
      </w:r>
      <w:r w:rsidR="00A87F44">
        <w:t>has</w:t>
      </w:r>
      <w:r>
        <w:t xml:space="preserve"> various ups and downs, but the overall direction is upwards.</w:t>
      </w:r>
      <w:r w:rsidR="00A87F44">
        <w:t xml:space="preserve"> </w:t>
      </w:r>
      <w:r>
        <w:t xml:space="preserve">The </w:t>
      </w:r>
      <w:proofErr w:type="gramStart"/>
      <w:r>
        <w:t>ARIMA(</w:t>
      </w:r>
      <w:proofErr w:type="gramEnd"/>
      <w:r>
        <w:t>0,1,0) model, also known as a random walk model, typically assumes that changes from one period to the next are random. The addition of a drift component allows the model to incorporate a consistent average change over time, which can reflect the observed upward trend in the historical data.</w:t>
      </w:r>
    </w:p>
    <w:p w14:paraId="0CE41ADE" w14:textId="77777777" w:rsidR="00A87F44" w:rsidRDefault="00A87F44" w:rsidP="0082765A">
      <w:pPr>
        <w:jc w:val="both"/>
        <w:rPr>
          <w:rStyle w:val="Strong"/>
        </w:rPr>
      </w:pPr>
    </w:p>
    <w:p w14:paraId="754DD68B" w14:textId="6547C1D6" w:rsidR="00E160C4" w:rsidRDefault="00E160C4" w:rsidP="0082765A">
      <w:pPr>
        <w:jc w:val="both"/>
      </w:pPr>
      <w:r>
        <w:t>The forecast begins at the end of the historical data, indicated by a solid blue line which trends upwards slightly, reflecting the drift component. This suggests that the model expects the upward trend to continue, but with no specific pattern in the fluctuations, which will continue to be random.</w:t>
      </w:r>
    </w:p>
    <w:p w14:paraId="3A7D382F" w14:textId="77777777" w:rsidR="00A87F44" w:rsidRDefault="00A87F44" w:rsidP="0082765A">
      <w:pPr>
        <w:jc w:val="both"/>
      </w:pPr>
    </w:p>
    <w:p w14:paraId="3643F45B" w14:textId="05589F67" w:rsidR="00A87F44" w:rsidRPr="0082765A" w:rsidRDefault="00E160C4" w:rsidP="0082765A">
      <w:pPr>
        <w:jc w:val="both"/>
      </w:pPr>
      <w:r>
        <w:t xml:space="preserve">The grey shaded area represents the confidence intervals around the forecast, indicating the range of potential future values. </w:t>
      </w:r>
      <w:r w:rsidR="00A87F44">
        <w:rPr>
          <w:b/>
          <w:bCs/>
          <w:i/>
          <w:iCs/>
        </w:rPr>
        <w:br w:type="page"/>
      </w:r>
    </w:p>
    <w:p w14:paraId="16527564" w14:textId="71F0BB71" w:rsidR="00A87F44" w:rsidRDefault="00A87F44" w:rsidP="00A87F44">
      <w:pPr>
        <w:pStyle w:val="NormalWeb"/>
        <w:spacing w:before="0" w:beforeAutospacing="0" w:after="0" w:afterAutospacing="0"/>
        <w:rPr>
          <w:b/>
          <w:bCs/>
        </w:rPr>
      </w:pPr>
      <w:r>
        <w:rPr>
          <w:b/>
          <w:bCs/>
        </w:rPr>
        <w:lastRenderedPageBreak/>
        <w:t>(</w:t>
      </w:r>
      <w:r w:rsidRPr="00347A5F">
        <w:rPr>
          <w:b/>
          <w:bCs/>
        </w:rPr>
        <w:t xml:space="preserve">v) </w:t>
      </w:r>
      <w:r>
        <w:rPr>
          <w:b/>
          <w:bCs/>
        </w:rPr>
        <w:t>Dry Wine data</w:t>
      </w:r>
    </w:p>
    <w:p w14:paraId="52C670AA" w14:textId="20D8CCE3" w:rsidR="00A87F44" w:rsidRDefault="00A87F44" w:rsidP="00A87F44">
      <w:pPr>
        <w:pStyle w:val="NormalWeb"/>
        <w:spacing w:before="0" w:beforeAutospacing="0" w:after="0" w:afterAutospacing="0"/>
        <w:rPr>
          <w:i/>
          <w:iCs/>
        </w:rPr>
      </w:pPr>
    </w:p>
    <w:p w14:paraId="15031E1C" w14:textId="7EEB171A" w:rsidR="00D82628" w:rsidRPr="00A87F44" w:rsidRDefault="00D82628" w:rsidP="00A87F44">
      <w:pPr>
        <w:pStyle w:val="NormalWeb"/>
        <w:spacing w:before="0" w:beforeAutospacing="0" w:after="0" w:afterAutospacing="0"/>
      </w:pPr>
      <w:r w:rsidRPr="00A87F44">
        <w:rPr>
          <w:i/>
          <w:iCs/>
        </w:rPr>
        <w:t xml:space="preserve">Figure </w:t>
      </w:r>
      <w:r w:rsidR="00A87F44">
        <w:rPr>
          <w:i/>
          <w:iCs/>
        </w:rPr>
        <w:t>6</w:t>
      </w:r>
      <w:r w:rsidRPr="00A87F44">
        <w:rPr>
          <w:i/>
          <w:iCs/>
        </w:rPr>
        <w:t xml:space="preserve">: Seasonal ARIMA Model Forecast for Monthly Price Data </w:t>
      </w:r>
      <w:r w:rsidRPr="00A87F44">
        <w:rPr>
          <w:i/>
          <w:iCs/>
        </w:rPr>
        <w:t>of Dry Wine</w:t>
      </w:r>
    </w:p>
    <w:p w14:paraId="7951934C" w14:textId="1BE23376" w:rsidR="00D82628" w:rsidRDefault="00A87F44" w:rsidP="00E160C4">
      <w:pPr>
        <w:pStyle w:val="NormalWeb"/>
      </w:pPr>
      <w:r>
        <w:rPr>
          <w:noProof/>
          <w14:ligatures w14:val="standardContextual"/>
        </w:rPr>
        <w:drawing>
          <wp:anchor distT="0" distB="0" distL="114300" distR="114300" simplePos="0" relativeHeight="251658240" behindDoc="0" locked="0" layoutInCell="1" allowOverlap="1" wp14:anchorId="7DC593FA" wp14:editId="5E1EBA86">
            <wp:simplePos x="0" y="0"/>
            <wp:positionH relativeFrom="column">
              <wp:posOffset>0</wp:posOffset>
            </wp:positionH>
            <wp:positionV relativeFrom="paragraph">
              <wp:posOffset>45720</wp:posOffset>
            </wp:positionV>
            <wp:extent cx="5158740" cy="3093720"/>
            <wp:effectExtent l="0" t="0" r="0" b="5080"/>
            <wp:wrapSquare wrapText="bothSides"/>
            <wp:docPr id="105236815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368156" name="Picture 1052368156"/>
                    <pic:cNvPicPr/>
                  </pic:nvPicPr>
                  <pic:blipFill rotWithShape="1">
                    <a:blip r:embed="rId16">
                      <a:extLst>
                        <a:ext uri="{28A0092B-C50C-407E-A947-70E740481C1C}">
                          <a14:useLocalDpi xmlns:a14="http://schemas.microsoft.com/office/drawing/2010/main" val="0"/>
                        </a:ext>
                      </a:extLst>
                    </a:blip>
                    <a:srcRect t="5052"/>
                    <a:stretch/>
                  </pic:blipFill>
                  <pic:spPr bwMode="auto">
                    <a:xfrm>
                      <a:off x="0" y="0"/>
                      <a:ext cx="5158740" cy="30937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AAEEF54" w14:textId="6A6427B1" w:rsidR="00D82628" w:rsidRDefault="00D82628" w:rsidP="00E160C4">
      <w:pPr>
        <w:pStyle w:val="NormalWeb"/>
      </w:pPr>
    </w:p>
    <w:p w14:paraId="6DA7F052" w14:textId="77777777" w:rsidR="00A87F44" w:rsidRDefault="00A87F44" w:rsidP="00D82628">
      <w:pPr>
        <w:pStyle w:val="NormalWeb"/>
        <w:spacing w:after="0" w:afterAutospacing="0"/>
        <w:rPr>
          <w:u w:val="single"/>
        </w:rPr>
      </w:pPr>
    </w:p>
    <w:p w14:paraId="06CD02B9" w14:textId="4FDD08D0" w:rsidR="00D82628" w:rsidRDefault="00D82628" w:rsidP="0082765A">
      <w:pPr>
        <w:pStyle w:val="NormalWeb"/>
        <w:spacing w:after="0" w:afterAutospacing="0"/>
        <w:jc w:val="both"/>
        <w:rPr>
          <w:u w:val="single"/>
        </w:rPr>
      </w:pPr>
      <w:r w:rsidRPr="00FF50FE">
        <w:rPr>
          <w:u w:val="single"/>
        </w:rPr>
        <w:t xml:space="preserve">Interpretation for </w:t>
      </w:r>
      <w:r>
        <w:rPr>
          <w:u w:val="single"/>
        </w:rPr>
        <w:t>Figure</w:t>
      </w:r>
      <w:r w:rsidRPr="00FF50FE">
        <w:rPr>
          <w:u w:val="single"/>
        </w:rPr>
        <w:t xml:space="preserve"> </w:t>
      </w:r>
      <w:r w:rsidR="00A87F44">
        <w:rPr>
          <w:u w:val="single"/>
        </w:rPr>
        <w:t>6</w:t>
      </w:r>
      <w:r w:rsidRPr="00FF50FE">
        <w:rPr>
          <w:u w:val="single"/>
        </w:rPr>
        <w:t>:</w:t>
      </w:r>
    </w:p>
    <w:p w14:paraId="7F1855FC" w14:textId="17DEFAD6" w:rsidR="00D82628" w:rsidRDefault="00D82628" w:rsidP="0082765A">
      <w:pPr>
        <w:jc w:val="both"/>
      </w:pPr>
      <w:r>
        <w:t xml:space="preserve">The </w:t>
      </w:r>
      <w:r w:rsidR="00A87F44">
        <w:t xml:space="preserve">above graph uses </w:t>
      </w:r>
      <w:r>
        <w:t xml:space="preserve">model </w:t>
      </w:r>
      <w:proofErr w:type="gramStart"/>
      <w:r>
        <w:t>ARIMA(</w:t>
      </w:r>
      <w:proofErr w:type="gramEnd"/>
      <w:r>
        <w:t>1,1,0)(0,1,1)[12]. This suggests an autoregressive term of order 1, one order of differencing, and no moving average in the non-seasonal part. The seasonal part of the model includes no seasonal autoregressive terms, one seasonal differencing, and a seasonal moving average term of order 1 with a seasonal period of 12, which commonly indicates monthly data.</w:t>
      </w:r>
    </w:p>
    <w:p w14:paraId="067C8001" w14:textId="77777777" w:rsidR="00A87F44" w:rsidRDefault="00A87F44" w:rsidP="0082765A">
      <w:pPr>
        <w:jc w:val="both"/>
        <w:rPr>
          <w:rStyle w:val="Strong"/>
        </w:rPr>
      </w:pPr>
    </w:p>
    <w:p w14:paraId="3142CD1B" w14:textId="6049B39D" w:rsidR="00D82628" w:rsidRDefault="00D82628" w:rsidP="0082765A">
      <w:pPr>
        <w:jc w:val="both"/>
      </w:pPr>
      <w:r>
        <w:t>The forecast generated by this model shows the time series stabilizing around a particular level before starting to exhibit a seasonal pattern. The shaded area represents the confidence intervals, which increase as the forecast extends, reflecting the growing uncertainty in the model's predictions over time.</w:t>
      </w:r>
    </w:p>
    <w:p w14:paraId="33F73125" w14:textId="77777777" w:rsidR="00A87F44" w:rsidRDefault="00A87F44" w:rsidP="0082765A">
      <w:pPr>
        <w:pStyle w:val="NormalWeb"/>
        <w:jc w:val="both"/>
        <w:rPr>
          <w:rStyle w:val="Strong"/>
        </w:rPr>
      </w:pPr>
    </w:p>
    <w:p w14:paraId="6AC3470B" w14:textId="323A53D7" w:rsidR="00D82628" w:rsidRPr="00A87F44" w:rsidRDefault="00A87F44" w:rsidP="0082765A">
      <w:pPr>
        <w:pStyle w:val="NormalWeb"/>
        <w:jc w:val="both"/>
        <w:rPr>
          <w:rStyle w:val="Strong"/>
        </w:rPr>
      </w:pPr>
      <w:r>
        <w:rPr>
          <w:rStyle w:val="Strong"/>
        </w:rPr>
        <w:t>(vi)</w:t>
      </w:r>
      <w:r w:rsidR="00BE3F80">
        <w:rPr>
          <w:rStyle w:val="Strong"/>
        </w:rPr>
        <w:t>a.</w:t>
      </w:r>
      <w:r>
        <w:rPr>
          <w:rStyle w:val="Strong"/>
        </w:rPr>
        <w:t xml:space="preserve"> </w:t>
      </w:r>
      <w:r w:rsidR="00D82628">
        <w:rPr>
          <w:rStyle w:val="Strong"/>
        </w:rPr>
        <w:t xml:space="preserve">Comparison </w:t>
      </w:r>
      <w:r>
        <w:rPr>
          <w:rStyle w:val="Strong"/>
        </w:rPr>
        <w:t xml:space="preserve">of </w:t>
      </w:r>
      <w:r w:rsidRPr="00A87F44">
        <w:rPr>
          <w:rStyle w:val="Strong"/>
        </w:rPr>
        <w:t xml:space="preserve">Time series forecasting of HON and AAPL using </w:t>
      </w:r>
      <w:proofErr w:type="gramStart"/>
      <w:r w:rsidRPr="00A87F44">
        <w:rPr>
          <w:rStyle w:val="Strong"/>
        </w:rPr>
        <w:t>auto.arima</w:t>
      </w:r>
      <w:proofErr w:type="gramEnd"/>
      <w:r w:rsidRPr="00A87F44">
        <w:rPr>
          <w:rStyle w:val="Strong"/>
        </w:rPr>
        <w:t>( )</w:t>
      </w:r>
      <w:r>
        <w:rPr>
          <w:rStyle w:val="Strong"/>
        </w:rPr>
        <w:t>:</w:t>
      </w:r>
    </w:p>
    <w:p w14:paraId="353E7637" w14:textId="77777777" w:rsidR="00A6218C" w:rsidRDefault="00A6218C" w:rsidP="0082765A">
      <w:pPr>
        <w:pStyle w:val="NormalWeb"/>
        <w:spacing w:after="0" w:afterAutospacing="0"/>
        <w:jc w:val="both"/>
        <w:rPr>
          <w:b/>
          <w:bCs/>
          <w:i/>
          <w:iCs/>
        </w:rPr>
      </w:pPr>
      <w:r w:rsidRPr="00A6218C">
        <w:rPr>
          <w:rStyle w:val="Strong"/>
          <w:i/>
          <w:iCs/>
        </w:rPr>
        <w:t>Figure 4</w:t>
      </w:r>
      <w:r w:rsidR="00A87F44" w:rsidRPr="00A6218C">
        <w:rPr>
          <w:rStyle w:val="Strong"/>
          <w:i/>
          <w:iCs/>
        </w:rPr>
        <w:t>:</w:t>
      </w:r>
      <w:r w:rsidR="00A87F44">
        <w:rPr>
          <w:rStyle w:val="Strong"/>
        </w:rPr>
        <w:t xml:space="preserve"> </w:t>
      </w:r>
      <w:r w:rsidRPr="00A6218C">
        <w:rPr>
          <w:b/>
          <w:bCs/>
          <w:i/>
          <w:iCs/>
        </w:rPr>
        <w:t xml:space="preserve">Honeywell Price Forecast with </w:t>
      </w:r>
      <w:proofErr w:type="gramStart"/>
      <w:r w:rsidRPr="00A6218C">
        <w:rPr>
          <w:b/>
          <w:bCs/>
          <w:i/>
          <w:iCs/>
        </w:rPr>
        <w:t>ARIMA(</w:t>
      </w:r>
      <w:proofErr w:type="gramEnd"/>
      <w:r w:rsidRPr="00A6218C">
        <w:rPr>
          <w:b/>
          <w:bCs/>
          <w:i/>
          <w:iCs/>
        </w:rPr>
        <w:t>0,1,0)</w:t>
      </w:r>
      <w:r w:rsidRPr="00A6218C">
        <w:rPr>
          <w:b/>
          <w:bCs/>
          <w:i/>
          <w:iCs/>
        </w:rPr>
        <w:t xml:space="preserve"> without Drift</w:t>
      </w:r>
      <w:r w:rsidRPr="00A6218C">
        <w:rPr>
          <w:b/>
          <w:bCs/>
          <w:i/>
          <w:iCs/>
        </w:rPr>
        <w:t xml:space="preserve"> Model</w:t>
      </w:r>
    </w:p>
    <w:p w14:paraId="74EBCE2C" w14:textId="55659629" w:rsidR="00A87F44" w:rsidRPr="00A6218C" w:rsidRDefault="00A87F44" w:rsidP="0082765A">
      <w:pPr>
        <w:pStyle w:val="NormalWeb"/>
        <w:spacing w:before="0" w:beforeAutospacing="0"/>
        <w:jc w:val="both"/>
        <w:rPr>
          <w:b/>
          <w:bCs/>
        </w:rPr>
      </w:pPr>
      <w:r>
        <w:t xml:space="preserve">The </w:t>
      </w:r>
      <w:proofErr w:type="gramStart"/>
      <w:r>
        <w:t>ARIMA(</w:t>
      </w:r>
      <w:proofErr w:type="gramEnd"/>
      <w:r>
        <w:t>0,1,0) model implies that the data is being differenced once to achieve stationarity, which is typical for a non-stationary time series like stock prices. This model suggests a random walk without drift, meaning future prices are expected to vary around the last observed price with no clear trend.</w:t>
      </w:r>
      <w:r w:rsidR="00A6218C">
        <w:t xml:space="preserve"> </w:t>
      </w:r>
      <w:r w:rsidR="00A6218C" w:rsidRPr="00A6218C">
        <w:t xml:space="preserve">The chart suggests that the model expects the price to not change significantly in the near future, maintaining the last observed level, but with uncertainty about this prediction increasing over time. </w:t>
      </w:r>
      <w:r>
        <w:t>This model may suggest that for Honeywell, recent historical prices are a reliable indicator of future prices, with the randomness of changes indicating market efficiency.</w:t>
      </w:r>
    </w:p>
    <w:p w14:paraId="2AF842E9" w14:textId="77777777" w:rsidR="00A6218C" w:rsidRDefault="00A6218C" w:rsidP="00A6218C">
      <w:pPr>
        <w:pStyle w:val="NormalWeb"/>
        <w:spacing w:before="0" w:beforeAutospacing="0" w:after="0" w:afterAutospacing="0"/>
        <w:rPr>
          <w:i/>
          <w:iCs/>
        </w:rPr>
      </w:pPr>
    </w:p>
    <w:p w14:paraId="08514C00" w14:textId="77777777" w:rsidR="00A6218C" w:rsidRDefault="00A6218C" w:rsidP="00A6218C">
      <w:pPr>
        <w:pStyle w:val="NormalWeb"/>
        <w:spacing w:before="0" w:beforeAutospacing="0" w:after="0" w:afterAutospacing="0"/>
        <w:rPr>
          <w:b/>
          <w:bCs/>
          <w:i/>
          <w:iCs/>
        </w:rPr>
      </w:pPr>
    </w:p>
    <w:p w14:paraId="337A460B" w14:textId="53342D42" w:rsidR="00A6218C" w:rsidRPr="00A6218C" w:rsidRDefault="00A6218C" w:rsidP="0082765A">
      <w:pPr>
        <w:pStyle w:val="NormalWeb"/>
        <w:spacing w:before="0" w:beforeAutospacing="0" w:after="0" w:afterAutospacing="0"/>
        <w:jc w:val="both"/>
        <w:rPr>
          <w:b/>
          <w:bCs/>
        </w:rPr>
      </w:pPr>
      <w:r w:rsidRPr="00A6218C">
        <w:rPr>
          <w:b/>
          <w:bCs/>
          <w:i/>
          <w:iCs/>
        </w:rPr>
        <w:lastRenderedPageBreak/>
        <w:t xml:space="preserve">Figure 5: Apple Price Forecast with </w:t>
      </w:r>
      <w:proofErr w:type="gramStart"/>
      <w:r w:rsidRPr="00A6218C">
        <w:rPr>
          <w:b/>
          <w:bCs/>
          <w:i/>
          <w:iCs/>
        </w:rPr>
        <w:t>ARIMA(</w:t>
      </w:r>
      <w:proofErr w:type="gramEnd"/>
      <w:r w:rsidRPr="00A6218C">
        <w:rPr>
          <w:b/>
          <w:bCs/>
          <w:i/>
          <w:iCs/>
        </w:rPr>
        <w:t>0,1,0)</w:t>
      </w:r>
      <w:r w:rsidR="00BE3F80">
        <w:rPr>
          <w:b/>
          <w:bCs/>
          <w:i/>
          <w:iCs/>
        </w:rPr>
        <w:t xml:space="preserve"> with drift</w:t>
      </w:r>
      <w:r w:rsidRPr="00A6218C">
        <w:rPr>
          <w:b/>
          <w:bCs/>
          <w:i/>
          <w:iCs/>
        </w:rPr>
        <w:t xml:space="preserve"> Model</w:t>
      </w:r>
    </w:p>
    <w:p w14:paraId="02B9CB8D" w14:textId="253C4394" w:rsidR="00A87F44" w:rsidRDefault="00A87F44" w:rsidP="0082765A">
      <w:pPr>
        <w:jc w:val="both"/>
      </w:pPr>
      <w:r>
        <w:t xml:space="preserve">The addition of a drift term in this </w:t>
      </w:r>
      <w:proofErr w:type="gramStart"/>
      <w:r>
        <w:t>ARIMA(</w:t>
      </w:r>
      <w:proofErr w:type="gramEnd"/>
      <w:r>
        <w:t>0,1,0) model suggests that while the stock price is still assumed to change randomly from one period to the next, there is a consistent average change over time</w:t>
      </w:r>
      <w:r w:rsidR="00BE3F80">
        <w:t xml:space="preserve"> </w:t>
      </w:r>
      <w:r>
        <w:t>implying a trend.</w:t>
      </w:r>
      <w:r w:rsidR="00BE3F80">
        <w:t xml:space="preserve"> </w:t>
      </w:r>
      <w:r>
        <w:t>The slight upward trajectory of the forecast line implies an expectation of a gradual increase in price over time. This drift component could reflect a long-term appreciation in value for the stock.</w:t>
      </w:r>
    </w:p>
    <w:p w14:paraId="40A04094" w14:textId="1857D8FE" w:rsidR="00A87F44" w:rsidRDefault="00A87F44" w:rsidP="00A87F44">
      <w:pPr>
        <w:pStyle w:val="NormalWeb"/>
      </w:pPr>
      <w:r>
        <w:rPr>
          <w:rStyle w:val="Strong"/>
        </w:rPr>
        <w:t>Comparative Analysis:</w:t>
      </w:r>
    </w:p>
    <w:p w14:paraId="5EDA5504" w14:textId="77777777" w:rsidR="00A87F44" w:rsidRDefault="00A87F44" w:rsidP="0082765A">
      <w:pPr>
        <w:numPr>
          <w:ilvl w:val="0"/>
          <w:numId w:val="50"/>
        </w:numPr>
        <w:spacing w:before="100" w:beforeAutospacing="1" w:after="100" w:afterAutospacing="1"/>
        <w:jc w:val="both"/>
      </w:pPr>
      <w:r>
        <w:t xml:space="preserve">The </w:t>
      </w:r>
      <w:proofErr w:type="gramStart"/>
      <w:r>
        <w:t>ARIMA(</w:t>
      </w:r>
      <w:proofErr w:type="gramEnd"/>
      <w:r>
        <w:t>0,1,0) without drift is a more conservative model, appropriate for stocks that do not exhibit a clear upward or downward trend but move in a random walk fashion around a stable price level.</w:t>
      </w:r>
    </w:p>
    <w:p w14:paraId="78FC5FD4" w14:textId="77777777" w:rsidR="00A87F44" w:rsidRDefault="00A87F44" w:rsidP="0082765A">
      <w:pPr>
        <w:numPr>
          <w:ilvl w:val="0"/>
          <w:numId w:val="50"/>
        </w:numPr>
        <w:spacing w:before="100" w:beforeAutospacing="1" w:after="100" w:afterAutospacing="1"/>
        <w:jc w:val="both"/>
      </w:pPr>
      <w:r>
        <w:t xml:space="preserve">The </w:t>
      </w:r>
      <w:proofErr w:type="gramStart"/>
      <w:r>
        <w:t>ARIMA(</w:t>
      </w:r>
      <w:proofErr w:type="gramEnd"/>
      <w:r>
        <w:t>0,1,0) with drift is better suited for time series that show a consistent long-term trend in one direction, aside from the random day-to-day or period-to-period fluctuations.</w:t>
      </w:r>
    </w:p>
    <w:p w14:paraId="04F53F01" w14:textId="77777777" w:rsidR="00A87F44" w:rsidRDefault="00A87F44" w:rsidP="0082765A">
      <w:pPr>
        <w:numPr>
          <w:ilvl w:val="0"/>
          <w:numId w:val="50"/>
        </w:numPr>
        <w:spacing w:before="100" w:beforeAutospacing="1" w:after="100" w:afterAutospacing="1"/>
        <w:jc w:val="both"/>
      </w:pPr>
      <w:r>
        <w:t>The forecast confidence intervals in both charts demonstrate increased uncertainty the further into the future the forecast extends, which is typical in time series forecasting.</w:t>
      </w:r>
    </w:p>
    <w:p w14:paraId="4F7ECDEC" w14:textId="13F95039" w:rsidR="00A87F44" w:rsidRDefault="00A87F44" w:rsidP="0082765A">
      <w:pPr>
        <w:pStyle w:val="NormalWeb"/>
        <w:jc w:val="both"/>
      </w:pPr>
      <w:r>
        <w:t xml:space="preserve">In choosing between these two models for forecasting, one must consider the historical behavior of the stock. For a stock like HON, if it typically does not exhibit a strong trend, the no-drift model may be more accurate. In contrast, for a stock like AAPL, which might have demonstrated consistent long-term growth, the model with drift could provide a better forecast. The performance of these models can be evaluated by </w:t>
      </w:r>
      <w:proofErr w:type="spellStart"/>
      <w:r>
        <w:t>backtesting</w:t>
      </w:r>
      <w:proofErr w:type="spellEnd"/>
      <w:r>
        <w:t xml:space="preserve"> forecasts against actual observed stock prices over time.</w:t>
      </w:r>
    </w:p>
    <w:p w14:paraId="4EAEB84A" w14:textId="77777777" w:rsidR="00A87F44" w:rsidRDefault="00A87F44" w:rsidP="0082765A">
      <w:pPr>
        <w:pStyle w:val="NormalWeb"/>
        <w:jc w:val="both"/>
      </w:pPr>
      <w:r>
        <w:t xml:space="preserve">To improve the analysis, one could consider additional information such as seasonal patterns, economic indicators, or other external factors that might affect stock prices. It's also important to note that stock market forecasting is inherently uncertain and models are only one of many </w:t>
      </w:r>
      <w:proofErr w:type="gramStart"/>
      <w:r>
        <w:t>tools</w:t>
      </w:r>
      <w:proofErr w:type="gramEnd"/>
      <w:r>
        <w:t xml:space="preserve"> investors use to make decisions.</w:t>
      </w:r>
    </w:p>
    <w:p w14:paraId="49DE5FD4" w14:textId="77777777" w:rsidR="00A87F44" w:rsidRDefault="00A87F44" w:rsidP="00D82628">
      <w:pPr>
        <w:pStyle w:val="NormalWeb"/>
        <w:rPr>
          <w:rFonts w:ascii="Helvetica" w:eastAsiaTheme="minorHAnsi" w:hAnsi="Helvetica" w:cs="Helvetica"/>
          <w:color w:val="000000"/>
          <w14:ligatures w14:val="standardContextual"/>
        </w:rPr>
      </w:pPr>
    </w:p>
    <w:p w14:paraId="25B54A31" w14:textId="1349872B" w:rsidR="00A87F44" w:rsidRDefault="00BE3F80" w:rsidP="00D82628">
      <w:pPr>
        <w:pStyle w:val="NormalWeb"/>
        <w:rPr>
          <w:rStyle w:val="Strong"/>
        </w:rPr>
      </w:pPr>
      <w:r>
        <w:rPr>
          <w:rStyle w:val="Strong"/>
        </w:rPr>
        <w:t>(vi)</w:t>
      </w:r>
      <w:r>
        <w:rPr>
          <w:rStyle w:val="Strong"/>
        </w:rPr>
        <w:t>b</w:t>
      </w:r>
      <w:r>
        <w:rPr>
          <w:rStyle w:val="Strong"/>
        </w:rPr>
        <w:t xml:space="preserve">. Comparison </w:t>
      </w:r>
      <w:r>
        <w:rPr>
          <w:rStyle w:val="Strong"/>
        </w:rPr>
        <w:t xml:space="preserve">of </w:t>
      </w:r>
      <w:r w:rsidRPr="00A87F44">
        <w:rPr>
          <w:rStyle w:val="Strong"/>
        </w:rPr>
        <w:t>Time series forecasting of HON and AAPL</w:t>
      </w:r>
      <w:r>
        <w:rPr>
          <w:rStyle w:val="Strong"/>
        </w:rPr>
        <w:t xml:space="preserve"> </w:t>
      </w:r>
      <w:r w:rsidR="00A87F44">
        <w:rPr>
          <w:rStyle w:val="Strong"/>
        </w:rPr>
        <w:t>to Dry Wine Prices Forecast:</w:t>
      </w:r>
    </w:p>
    <w:p w14:paraId="7C5F19EC" w14:textId="704E5348" w:rsidR="00B37EED" w:rsidRPr="00A87F44" w:rsidRDefault="00B37EED" w:rsidP="0082765A">
      <w:pPr>
        <w:pStyle w:val="NormalWeb"/>
        <w:jc w:val="both"/>
        <w:rPr>
          <w:b/>
          <w:bCs/>
        </w:rPr>
      </w:pPr>
      <w:r>
        <w:t>Different conclusions from time series models like ARIMA arise because each data set has distinct characteristics and behaviors that influence how well a particular model can forecast future values.</w:t>
      </w:r>
      <w:r w:rsidR="0080486B">
        <w:t xml:space="preserve"> It depends on reasons like seasonality, trend, stationarity, or external factors </w:t>
      </w:r>
      <w:r w:rsidR="00847F10">
        <w:t>including macroeconomic indicators, investor sentiment, geopolitical events, and company-specific news.</w:t>
      </w:r>
    </w:p>
    <w:p w14:paraId="666627E7" w14:textId="5973350E" w:rsidR="00BE3F80" w:rsidRDefault="00BE3F80" w:rsidP="00BE3F80">
      <w:pPr>
        <w:pStyle w:val="NormalWeb"/>
        <w:spacing w:before="0" w:beforeAutospacing="0" w:after="0" w:afterAutospacing="0"/>
      </w:pPr>
      <w:r>
        <w:rPr>
          <w:rStyle w:val="Strong"/>
        </w:rPr>
        <w:t xml:space="preserve">Comparative </w:t>
      </w:r>
      <w:r w:rsidR="00B37EED">
        <w:rPr>
          <w:rStyle w:val="Strong"/>
        </w:rPr>
        <w:t>Analysis</w:t>
      </w:r>
      <w:r>
        <w:rPr>
          <w:rStyle w:val="Strong"/>
        </w:rPr>
        <w:t>:</w:t>
      </w:r>
    </w:p>
    <w:p w14:paraId="7815AE98" w14:textId="77777777" w:rsidR="00BE3F80" w:rsidRDefault="00BE3F80" w:rsidP="0082765A">
      <w:pPr>
        <w:numPr>
          <w:ilvl w:val="0"/>
          <w:numId w:val="57"/>
        </w:numPr>
        <w:jc w:val="both"/>
      </w:pPr>
      <w:r>
        <w:t>Dry wine prices are typically influenced by predictable seasonal patterns, and thus, the chosen ARIMA model would emphasize capturing these patterns. The forecasts would reflect the seasonality, and the intervals would vary based on seasonal demand changes.</w:t>
      </w:r>
    </w:p>
    <w:p w14:paraId="72D7E9B6" w14:textId="77777777" w:rsidR="00BE3F80" w:rsidRDefault="00BE3F80" w:rsidP="0082765A">
      <w:pPr>
        <w:numPr>
          <w:ilvl w:val="0"/>
          <w:numId w:val="57"/>
        </w:numPr>
        <w:spacing w:before="100" w:beforeAutospacing="1" w:after="100" w:afterAutospacing="1"/>
        <w:jc w:val="both"/>
      </w:pPr>
      <w:r>
        <w:t>AAPL stock prices might display some seasonality, but trends and market responses to new information would also be significant, leading to an ARIMA model that balances trend and seasonal components.</w:t>
      </w:r>
    </w:p>
    <w:p w14:paraId="602DEBEB" w14:textId="77777777" w:rsidR="00BE3F80" w:rsidRDefault="00BE3F80" w:rsidP="0082765A">
      <w:pPr>
        <w:numPr>
          <w:ilvl w:val="0"/>
          <w:numId w:val="57"/>
        </w:numPr>
        <w:spacing w:before="100" w:beforeAutospacing="1" w:after="100" w:afterAutospacing="1"/>
        <w:jc w:val="both"/>
      </w:pPr>
      <w:r>
        <w:t>HON forecasts, while also potentially affected by trends, would likely not exhibit strong seasonal patterns, resulting in a simpler seasonal component within the ARIMA model.</w:t>
      </w:r>
    </w:p>
    <w:p w14:paraId="5CC07980" w14:textId="77777777" w:rsidR="00BE3F80" w:rsidRDefault="00BE3F80" w:rsidP="0082765A">
      <w:pPr>
        <w:numPr>
          <w:ilvl w:val="0"/>
          <w:numId w:val="57"/>
        </w:numPr>
        <w:spacing w:before="100" w:beforeAutospacing="1" w:after="100" w:afterAutospacing="1"/>
        <w:jc w:val="both"/>
      </w:pPr>
      <w:r>
        <w:lastRenderedPageBreak/>
        <w:t>In terms of prediction intervals, stock prices for AAPL and HON might show less variation than the wine prices unless market volatility is particularly high, in which case the intervals could widen.</w:t>
      </w:r>
    </w:p>
    <w:p w14:paraId="5F020940" w14:textId="77777777" w:rsidR="00BE3F80" w:rsidRDefault="00BE3F80" w:rsidP="00BE3F80">
      <w:pPr>
        <w:pStyle w:val="NormalWeb"/>
        <w:spacing w:before="0" w:beforeAutospacing="0" w:after="0" w:afterAutospacing="0"/>
      </w:pPr>
      <w:r>
        <w:rPr>
          <w:rStyle w:val="Strong"/>
        </w:rPr>
        <w:t>Preferred Method:</w:t>
      </w:r>
    </w:p>
    <w:p w14:paraId="6C29CFB6" w14:textId="2411D421" w:rsidR="00BE3F80" w:rsidRDefault="00BE3F80" w:rsidP="0082765A">
      <w:pPr>
        <w:numPr>
          <w:ilvl w:val="0"/>
          <w:numId w:val="58"/>
        </w:numPr>
        <w:jc w:val="both"/>
      </w:pPr>
      <w:r>
        <w:t xml:space="preserve">For series with strong seasonality like wine prices, a model with a robust seasonal component is </w:t>
      </w:r>
      <w:proofErr w:type="gramStart"/>
      <w:r>
        <w:t>preferred</w:t>
      </w:r>
      <w:r>
        <w:t>(</w:t>
      </w:r>
      <w:proofErr w:type="gramEnd"/>
      <w:r>
        <w:t>SARIMA)</w:t>
      </w:r>
      <w:r>
        <w:t>.</w:t>
      </w:r>
    </w:p>
    <w:p w14:paraId="1B1275CD" w14:textId="77777777" w:rsidR="00BE3F80" w:rsidRDefault="00BE3F80" w:rsidP="0082765A">
      <w:pPr>
        <w:numPr>
          <w:ilvl w:val="0"/>
          <w:numId w:val="58"/>
        </w:numPr>
        <w:spacing w:before="100" w:beforeAutospacing="1" w:after="100" w:afterAutospacing="1"/>
        <w:jc w:val="both"/>
      </w:pPr>
      <w:r>
        <w:t>For financial time series like AAPL and HON, which may have trends and small seasonal effects, a more complex ARIMA model that accounts for both is ideal.</w:t>
      </w:r>
    </w:p>
    <w:p w14:paraId="2E3DF68A" w14:textId="77777777" w:rsidR="00BE3F80" w:rsidRDefault="00BE3F80" w:rsidP="0082765A">
      <w:pPr>
        <w:pStyle w:val="NormalWeb"/>
        <w:spacing w:before="0" w:beforeAutospacing="0" w:after="0" w:afterAutospacing="0"/>
        <w:jc w:val="both"/>
      </w:pPr>
      <w:r>
        <w:rPr>
          <w:rStyle w:val="Strong"/>
        </w:rPr>
        <w:t>Learnings and Improvements:</w:t>
      </w:r>
    </w:p>
    <w:p w14:paraId="1A27E766" w14:textId="77777777" w:rsidR="00BE3F80" w:rsidRPr="00BE3F80" w:rsidRDefault="00BE3F80" w:rsidP="0082765A">
      <w:pPr>
        <w:numPr>
          <w:ilvl w:val="0"/>
          <w:numId w:val="59"/>
        </w:numPr>
        <w:jc w:val="both"/>
      </w:pPr>
      <w:r w:rsidRPr="00BE3F80">
        <w:t xml:space="preserve">Each time series requires a tailored approach. </w:t>
      </w:r>
      <w:proofErr w:type="gramStart"/>
      <w:r w:rsidRPr="00BE3F80">
        <w:rPr>
          <w:rStyle w:val="HTMLCode"/>
          <w:rFonts w:ascii="Times New Roman" w:hAnsi="Times New Roman" w:cs="Times New Roman"/>
          <w:sz w:val="24"/>
          <w:szCs w:val="24"/>
        </w:rPr>
        <w:t>auto.arima</w:t>
      </w:r>
      <w:proofErr w:type="gramEnd"/>
      <w:r w:rsidRPr="00BE3F80">
        <w:rPr>
          <w:rStyle w:val="HTMLCode"/>
          <w:rFonts w:ascii="Times New Roman" w:hAnsi="Times New Roman" w:cs="Times New Roman"/>
          <w:sz w:val="24"/>
          <w:szCs w:val="24"/>
        </w:rPr>
        <w:t>()</w:t>
      </w:r>
      <w:r w:rsidRPr="00BE3F80">
        <w:t xml:space="preserve"> is powerful for automating model selection but should be complemented with domain expertise.</w:t>
      </w:r>
    </w:p>
    <w:p w14:paraId="4E02B192" w14:textId="4E230BA8" w:rsidR="00D82628" w:rsidRPr="00B37EED" w:rsidRDefault="00BE3F80" w:rsidP="0082765A">
      <w:pPr>
        <w:numPr>
          <w:ilvl w:val="0"/>
          <w:numId w:val="59"/>
        </w:numPr>
        <w:jc w:val="both"/>
      </w:pPr>
      <w:r w:rsidRPr="00BE3F80">
        <w:t>Improvements in forecasting could come from considering external factors, using ensemble methods, and continually validating model assumptions against new data.</w:t>
      </w:r>
    </w:p>
    <w:p w14:paraId="5F920B47" w14:textId="77777777" w:rsidR="00D82628" w:rsidRDefault="00D82628" w:rsidP="00100374">
      <w:pPr>
        <w:jc w:val="both"/>
        <w:rPr>
          <w:b/>
          <w:bCs/>
          <w:color w:val="000000" w:themeColor="text1"/>
          <w:sz w:val="28"/>
          <w:szCs w:val="28"/>
          <w:u w:val="single"/>
        </w:rPr>
      </w:pPr>
    </w:p>
    <w:p w14:paraId="57351B9C" w14:textId="77777777" w:rsidR="0082765A" w:rsidRDefault="0082765A" w:rsidP="0082765A">
      <w:pPr>
        <w:spacing w:before="240" w:after="240"/>
        <w:rPr>
          <w:b/>
          <w:bCs/>
          <w:color w:val="000000" w:themeColor="text1"/>
          <w:sz w:val="28"/>
          <w:szCs w:val="28"/>
          <w:u w:val="single"/>
        </w:rPr>
      </w:pPr>
    </w:p>
    <w:p w14:paraId="1A41DC41" w14:textId="77777777" w:rsidR="0082765A" w:rsidRDefault="0082765A" w:rsidP="0082765A">
      <w:pPr>
        <w:spacing w:before="240" w:after="240"/>
        <w:rPr>
          <w:b/>
          <w:bCs/>
          <w:color w:val="000000" w:themeColor="text1"/>
          <w:sz w:val="28"/>
          <w:szCs w:val="28"/>
          <w:u w:val="single"/>
        </w:rPr>
      </w:pPr>
    </w:p>
    <w:p w14:paraId="582F6CFD" w14:textId="77777777" w:rsidR="0082765A" w:rsidRDefault="00E34BA9" w:rsidP="0082765A">
      <w:pPr>
        <w:rPr>
          <w:b/>
          <w:bCs/>
          <w:color w:val="000000" w:themeColor="text1"/>
          <w:sz w:val="28"/>
          <w:szCs w:val="28"/>
          <w:u w:val="single"/>
        </w:rPr>
      </w:pPr>
      <w:r w:rsidRPr="004317F8">
        <w:rPr>
          <w:b/>
          <w:bCs/>
          <w:color w:val="000000" w:themeColor="text1"/>
          <w:sz w:val="28"/>
          <w:szCs w:val="28"/>
          <w:u w:val="single"/>
        </w:rPr>
        <w:t>Conclusion</w:t>
      </w:r>
    </w:p>
    <w:p w14:paraId="1569F1DA" w14:textId="274D3678" w:rsidR="00436AF6" w:rsidRPr="0082765A" w:rsidRDefault="0082765A" w:rsidP="0082765A">
      <w:pPr>
        <w:rPr>
          <w:b/>
          <w:bCs/>
          <w:color w:val="000000" w:themeColor="text1"/>
          <w:sz w:val="28"/>
          <w:szCs w:val="28"/>
          <w:u w:val="single"/>
        </w:rPr>
      </w:pPr>
      <w:r>
        <w:t xml:space="preserve">This time series analysis highlights the distinct nature of forecasting stock prices versus commodity prices. For AAPL and HON, the chosen </w:t>
      </w:r>
      <w:proofErr w:type="gramStart"/>
      <w:r>
        <w:t>auto.arima</w:t>
      </w:r>
      <w:proofErr w:type="gramEnd"/>
      <w:r>
        <w:t>() models reflected the stocks’ responsiveness to market trends and volatility, suggesting the necessity to consider both non-seasonal and potential seasonal influences. Conversely, the dry wine prices exhibited pronounced seasonality, guiding the preference towards a Seasonal ARIMA model.</w:t>
      </w:r>
      <w:r>
        <w:t xml:space="preserve"> </w:t>
      </w:r>
      <w:r>
        <w:t>The findings emphasize the need for ongoing model validation and a readiness to integrate evolving market dynamics to enhance predictive accuracy. As analytics technology progresses, these conclusions invite a deeper integration of machine learning techniques to further refine forecasting capabilities in enterprise analytics.</w:t>
      </w:r>
    </w:p>
    <w:p w14:paraId="4DCF9E87" w14:textId="77777777" w:rsidR="0082765A" w:rsidRDefault="0082765A" w:rsidP="00E34BA9">
      <w:pPr>
        <w:shd w:val="clear" w:color="auto" w:fill="FFFFFF" w:themeFill="background1"/>
        <w:jc w:val="both"/>
      </w:pPr>
    </w:p>
    <w:p w14:paraId="2260AFEE" w14:textId="77777777" w:rsidR="0082765A" w:rsidRDefault="0082765A" w:rsidP="00E34BA9">
      <w:pPr>
        <w:shd w:val="clear" w:color="auto" w:fill="FFFFFF" w:themeFill="background1"/>
        <w:jc w:val="both"/>
        <w:rPr>
          <w:color w:val="000000" w:themeColor="text1"/>
        </w:rPr>
      </w:pPr>
    </w:p>
    <w:p w14:paraId="3E28687C" w14:textId="77777777" w:rsidR="00BE3F80" w:rsidRDefault="00BE3F80" w:rsidP="00E34BA9">
      <w:pPr>
        <w:shd w:val="clear" w:color="auto" w:fill="FFFFFF" w:themeFill="background1"/>
        <w:jc w:val="both"/>
        <w:rPr>
          <w:color w:val="000000" w:themeColor="text1"/>
        </w:rPr>
      </w:pPr>
    </w:p>
    <w:p w14:paraId="1C7A5440" w14:textId="77777777" w:rsidR="0082765A" w:rsidRPr="00EF5AB9" w:rsidRDefault="0082765A" w:rsidP="00E34BA9">
      <w:pPr>
        <w:shd w:val="clear" w:color="auto" w:fill="FFFFFF" w:themeFill="background1"/>
        <w:jc w:val="both"/>
        <w:rPr>
          <w:color w:val="000000" w:themeColor="text1"/>
        </w:rPr>
      </w:pPr>
    </w:p>
    <w:p w14:paraId="324CDBC9" w14:textId="25FED0A9" w:rsidR="00436AF6" w:rsidRPr="004317F8" w:rsidRDefault="004317F8" w:rsidP="00E34BA9">
      <w:pPr>
        <w:shd w:val="clear" w:color="auto" w:fill="FFFFFF" w:themeFill="background1"/>
        <w:jc w:val="both"/>
        <w:rPr>
          <w:b/>
          <w:bCs/>
          <w:color w:val="000000" w:themeColor="text1"/>
          <w:sz w:val="28"/>
          <w:szCs w:val="28"/>
          <w:u w:val="single"/>
        </w:rPr>
      </w:pPr>
      <w:r>
        <w:rPr>
          <w:b/>
          <w:bCs/>
          <w:color w:val="000000" w:themeColor="text1"/>
          <w:sz w:val="28"/>
          <w:szCs w:val="28"/>
          <w:u w:val="single"/>
        </w:rPr>
        <w:t>References</w:t>
      </w:r>
    </w:p>
    <w:bookmarkEnd w:id="1"/>
    <w:bookmarkEnd w:id="2"/>
    <w:bookmarkEnd w:id="3"/>
    <w:bookmarkEnd w:id="4"/>
    <w:bookmarkEnd w:id="5"/>
    <w:p w14:paraId="6160A847" w14:textId="3E1ACA3A" w:rsidR="00117062" w:rsidRDefault="00514ED4" w:rsidP="00A6218C">
      <w:pPr>
        <w:pStyle w:val="muitypography-root"/>
        <w:numPr>
          <w:ilvl w:val="0"/>
          <w:numId w:val="43"/>
        </w:numPr>
        <w:spacing w:before="0" w:beforeAutospacing="0"/>
      </w:pPr>
      <w:proofErr w:type="spellStart"/>
      <w:r>
        <w:t>Losada</w:t>
      </w:r>
      <w:proofErr w:type="spellEnd"/>
      <w:r>
        <w:t xml:space="preserve">, L. (2022, March 30). </w:t>
      </w:r>
      <w:r>
        <w:rPr>
          <w:i/>
          <w:iCs/>
        </w:rPr>
        <w:t xml:space="preserve">Time Series Analysis with </w:t>
      </w:r>
      <w:proofErr w:type="spellStart"/>
      <w:r>
        <w:rPr>
          <w:i/>
          <w:iCs/>
        </w:rPr>
        <w:t>Auto.Arima</w:t>
      </w:r>
      <w:proofErr w:type="spellEnd"/>
      <w:r>
        <w:rPr>
          <w:i/>
          <w:iCs/>
        </w:rPr>
        <w:t xml:space="preserve"> in R - Towards Data Science</w:t>
      </w:r>
      <w:r>
        <w:t xml:space="preserve">. Medium. </w:t>
      </w:r>
      <w:hyperlink r:id="rId17" w:history="1">
        <w:r w:rsidR="00A6218C" w:rsidRPr="0016356A">
          <w:rPr>
            <w:rStyle w:val="Hyperlink"/>
          </w:rPr>
          <w:t>https://towardsdatascience.com/time-series-analysis-with-auto-arima-in-r-2b220b20e8ab</w:t>
        </w:r>
      </w:hyperlink>
    </w:p>
    <w:p w14:paraId="25B330D9" w14:textId="2F3D4593" w:rsidR="00A6218C" w:rsidRDefault="00A6218C" w:rsidP="00A6218C">
      <w:pPr>
        <w:pStyle w:val="muitypography-root"/>
        <w:numPr>
          <w:ilvl w:val="0"/>
          <w:numId w:val="43"/>
        </w:numPr>
        <w:spacing w:before="0" w:beforeAutospacing="0"/>
      </w:pPr>
      <w:r>
        <w:rPr>
          <w:i/>
          <w:iCs/>
        </w:rPr>
        <w:t>Introduction to ARIMA: nonseasonal models</w:t>
      </w:r>
      <w:r>
        <w:t>. (n.d.</w:t>
      </w:r>
      <w:proofErr w:type="gramStart"/>
      <w:r>
        <w:t>).https://people.duke.edu/~</w:t>
      </w:r>
      <w:proofErr w:type="spellStart"/>
      <w:r>
        <w:t>rnau</w:t>
      </w:r>
      <w:proofErr w:type="spellEnd"/>
      <w:r>
        <w:t>/411arim.htm</w:t>
      </w:r>
      <w:proofErr w:type="gramEnd"/>
      <w:r>
        <w:t>.</w:t>
      </w:r>
    </w:p>
    <w:bookmarkEnd w:id="6"/>
    <w:bookmarkEnd w:id="7"/>
    <w:p w14:paraId="00088748" w14:textId="77777777" w:rsidR="00A6218C" w:rsidRPr="00FA0BC4" w:rsidRDefault="00A6218C" w:rsidP="00A6218C">
      <w:pPr>
        <w:pStyle w:val="muitypography-root"/>
        <w:ind w:left="720"/>
      </w:pPr>
    </w:p>
    <w:sectPr w:rsidR="00A6218C" w:rsidRPr="00FA0BC4" w:rsidSect="00AC77A2">
      <w:type w:val="continuous"/>
      <w:pgSz w:w="11906" w:h="16838"/>
      <w:pgMar w:top="1440" w:right="1440" w:bottom="1466"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18927" w14:textId="77777777" w:rsidR="00333528" w:rsidRDefault="00333528" w:rsidP="00C60313">
      <w:r>
        <w:separator/>
      </w:r>
    </w:p>
  </w:endnote>
  <w:endnote w:type="continuationSeparator" w:id="0">
    <w:p w14:paraId="25C0E569" w14:textId="77777777" w:rsidR="00333528" w:rsidRDefault="00333528" w:rsidP="00C60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1BF31" w14:textId="77777777" w:rsidR="00333528" w:rsidRDefault="00333528" w:rsidP="00C60313">
      <w:r>
        <w:separator/>
      </w:r>
    </w:p>
  </w:footnote>
  <w:footnote w:type="continuationSeparator" w:id="0">
    <w:p w14:paraId="4DE1EE5A" w14:textId="77777777" w:rsidR="00333528" w:rsidRDefault="00333528" w:rsidP="00C60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51400554"/>
      <w:docPartObj>
        <w:docPartGallery w:val="Page Numbers (Top of Page)"/>
        <w:docPartUnique/>
      </w:docPartObj>
    </w:sdtPr>
    <w:sdtContent>
      <w:p w14:paraId="64756EB2"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248AAB" w14:textId="77777777" w:rsidR="00C60313" w:rsidRDefault="00C60313" w:rsidP="00C603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5782822"/>
      <w:docPartObj>
        <w:docPartGallery w:val="Page Numbers (Top of Page)"/>
        <w:docPartUnique/>
      </w:docPartObj>
    </w:sdtPr>
    <w:sdtContent>
      <w:p w14:paraId="7DA0B87E" w14:textId="77777777" w:rsidR="00C60313" w:rsidRDefault="00C60313" w:rsidP="0026420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D2A872" w14:textId="77777777" w:rsidR="00C60313" w:rsidRDefault="00C60313" w:rsidP="00C603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2833"/>
    <w:multiLevelType w:val="multilevel"/>
    <w:tmpl w:val="EEB8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64231"/>
    <w:multiLevelType w:val="hybridMultilevel"/>
    <w:tmpl w:val="1950802E"/>
    <w:lvl w:ilvl="0" w:tplc="FFFFFFFF">
      <w:start w:val="1"/>
      <w:numFmt w:val="lowerRoman"/>
      <w:lvlText w:val="%1."/>
      <w:lvlJc w:val="righ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604650"/>
    <w:multiLevelType w:val="hybridMultilevel"/>
    <w:tmpl w:val="64383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3D74A2"/>
    <w:multiLevelType w:val="multilevel"/>
    <w:tmpl w:val="7FD6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048BA"/>
    <w:multiLevelType w:val="hybridMultilevel"/>
    <w:tmpl w:val="9F725C14"/>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7E3FB7"/>
    <w:multiLevelType w:val="hybridMultilevel"/>
    <w:tmpl w:val="05284310"/>
    <w:lvl w:ilvl="0" w:tplc="0809001B">
      <w:start w:val="1"/>
      <w:numFmt w:val="lowerRoman"/>
      <w:lvlText w:val="%1."/>
      <w:lvlJc w:val="right"/>
      <w:pPr>
        <w:ind w:left="108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25224A"/>
    <w:multiLevelType w:val="hybridMultilevel"/>
    <w:tmpl w:val="920C54A8"/>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7" w15:restartNumberingAfterBreak="0">
    <w:nsid w:val="0B462FAB"/>
    <w:multiLevelType w:val="multilevel"/>
    <w:tmpl w:val="F2B82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5327D8"/>
    <w:multiLevelType w:val="multilevel"/>
    <w:tmpl w:val="9DB83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DA47E4"/>
    <w:multiLevelType w:val="multilevel"/>
    <w:tmpl w:val="9124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B625D1"/>
    <w:multiLevelType w:val="multilevel"/>
    <w:tmpl w:val="1D78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F95CAB"/>
    <w:multiLevelType w:val="multilevel"/>
    <w:tmpl w:val="BF42BE2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2F156E"/>
    <w:multiLevelType w:val="multilevel"/>
    <w:tmpl w:val="8500BA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6D5F48"/>
    <w:multiLevelType w:val="multilevel"/>
    <w:tmpl w:val="50DA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045757"/>
    <w:multiLevelType w:val="multilevel"/>
    <w:tmpl w:val="FEB03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CC20C3"/>
    <w:multiLevelType w:val="multilevel"/>
    <w:tmpl w:val="106EC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7C510B"/>
    <w:multiLevelType w:val="multilevel"/>
    <w:tmpl w:val="CEEEF850"/>
    <w:lvl w:ilvl="0">
      <w:start w:val="1"/>
      <w:numFmt w:val="lowerRoman"/>
      <w:lvlText w:val="%1."/>
      <w:lvlJc w:val="right"/>
      <w:pPr>
        <w:ind w:left="108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A1E75"/>
    <w:multiLevelType w:val="hybridMultilevel"/>
    <w:tmpl w:val="6A06CF0C"/>
    <w:lvl w:ilvl="0" w:tplc="08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C462D"/>
    <w:multiLevelType w:val="multilevel"/>
    <w:tmpl w:val="DD966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075D0E"/>
    <w:multiLevelType w:val="multilevel"/>
    <w:tmpl w:val="50B499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496E9E"/>
    <w:multiLevelType w:val="hybridMultilevel"/>
    <w:tmpl w:val="F22C3BEE"/>
    <w:lvl w:ilvl="0" w:tplc="FB3E2D0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2A512557"/>
    <w:multiLevelType w:val="multilevel"/>
    <w:tmpl w:val="7FCA0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F44B8E"/>
    <w:multiLevelType w:val="hybridMultilevel"/>
    <w:tmpl w:val="9F702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1D5425"/>
    <w:multiLevelType w:val="hybridMultilevel"/>
    <w:tmpl w:val="A8460B58"/>
    <w:lvl w:ilvl="0" w:tplc="9176D262">
      <w:start w:val="1"/>
      <w:numFmt w:val="decimal"/>
      <w:lvlText w:val="%1."/>
      <w:lvlJc w:val="left"/>
      <w:pPr>
        <w:ind w:left="360" w:hanging="360"/>
      </w:pPr>
      <w:rPr>
        <w:rFonts w:hint="default"/>
      </w:rPr>
    </w:lvl>
    <w:lvl w:ilvl="1" w:tplc="08090019" w:tentative="1">
      <w:start w:val="1"/>
      <w:numFmt w:val="lowerLetter"/>
      <w:lvlText w:val="%2."/>
      <w:lvlJc w:val="left"/>
      <w:pPr>
        <w:ind w:left="589" w:hanging="360"/>
      </w:pPr>
    </w:lvl>
    <w:lvl w:ilvl="2" w:tplc="0809001B" w:tentative="1">
      <w:start w:val="1"/>
      <w:numFmt w:val="lowerRoman"/>
      <w:lvlText w:val="%3."/>
      <w:lvlJc w:val="right"/>
      <w:pPr>
        <w:ind w:left="1309" w:hanging="180"/>
      </w:pPr>
    </w:lvl>
    <w:lvl w:ilvl="3" w:tplc="0809000F" w:tentative="1">
      <w:start w:val="1"/>
      <w:numFmt w:val="decimal"/>
      <w:lvlText w:val="%4."/>
      <w:lvlJc w:val="left"/>
      <w:pPr>
        <w:ind w:left="2029" w:hanging="360"/>
      </w:pPr>
    </w:lvl>
    <w:lvl w:ilvl="4" w:tplc="08090019" w:tentative="1">
      <w:start w:val="1"/>
      <w:numFmt w:val="lowerLetter"/>
      <w:lvlText w:val="%5."/>
      <w:lvlJc w:val="left"/>
      <w:pPr>
        <w:ind w:left="2749" w:hanging="360"/>
      </w:pPr>
    </w:lvl>
    <w:lvl w:ilvl="5" w:tplc="0809001B" w:tentative="1">
      <w:start w:val="1"/>
      <w:numFmt w:val="lowerRoman"/>
      <w:lvlText w:val="%6."/>
      <w:lvlJc w:val="right"/>
      <w:pPr>
        <w:ind w:left="3469" w:hanging="180"/>
      </w:pPr>
    </w:lvl>
    <w:lvl w:ilvl="6" w:tplc="0809000F" w:tentative="1">
      <w:start w:val="1"/>
      <w:numFmt w:val="decimal"/>
      <w:lvlText w:val="%7."/>
      <w:lvlJc w:val="left"/>
      <w:pPr>
        <w:ind w:left="4189" w:hanging="360"/>
      </w:pPr>
    </w:lvl>
    <w:lvl w:ilvl="7" w:tplc="08090019" w:tentative="1">
      <w:start w:val="1"/>
      <w:numFmt w:val="lowerLetter"/>
      <w:lvlText w:val="%8."/>
      <w:lvlJc w:val="left"/>
      <w:pPr>
        <w:ind w:left="4909" w:hanging="360"/>
      </w:pPr>
    </w:lvl>
    <w:lvl w:ilvl="8" w:tplc="0809001B" w:tentative="1">
      <w:start w:val="1"/>
      <w:numFmt w:val="lowerRoman"/>
      <w:lvlText w:val="%9."/>
      <w:lvlJc w:val="right"/>
      <w:pPr>
        <w:ind w:left="5629" w:hanging="180"/>
      </w:pPr>
    </w:lvl>
  </w:abstractNum>
  <w:abstractNum w:abstractNumId="24" w15:restartNumberingAfterBreak="0">
    <w:nsid w:val="3B961A98"/>
    <w:multiLevelType w:val="multilevel"/>
    <w:tmpl w:val="C5E688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BCE0887"/>
    <w:multiLevelType w:val="hybridMultilevel"/>
    <w:tmpl w:val="AD8EC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0A159E"/>
    <w:multiLevelType w:val="multilevel"/>
    <w:tmpl w:val="08C8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4A5F4B"/>
    <w:multiLevelType w:val="multilevel"/>
    <w:tmpl w:val="1B46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A564E9"/>
    <w:multiLevelType w:val="hybridMultilevel"/>
    <w:tmpl w:val="C57251FE"/>
    <w:lvl w:ilvl="0" w:tplc="08090001">
      <w:start w:val="1"/>
      <w:numFmt w:val="bullet"/>
      <w:lvlText w:val=""/>
      <w:lvlJc w:val="left"/>
      <w:pPr>
        <w:ind w:left="1211"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2DE74D6"/>
    <w:multiLevelType w:val="multilevel"/>
    <w:tmpl w:val="03A2A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95157B"/>
    <w:multiLevelType w:val="multilevel"/>
    <w:tmpl w:val="81066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5624B9"/>
    <w:multiLevelType w:val="hybridMultilevel"/>
    <w:tmpl w:val="D99E18AA"/>
    <w:lvl w:ilvl="0" w:tplc="D91EE5C8">
      <w:start w:val="20"/>
      <w:numFmt w:val="bullet"/>
      <w:lvlText w:val=""/>
      <w:lvlJc w:val="left"/>
      <w:pPr>
        <w:ind w:left="1211" w:hanging="360"/>
      </w:pPr>
      <w:rPr>
        <w:rFonts w:ascii="Wingdings" w:eastAsiaTheme="minorHAnsi" w:hAnsi="Wingdings" w:cstheme="minorBidi"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abstractNum w:abstractNumId="32" w15:restartNumberingAfterBreak="0">
    <w:nsid w:val="4677182B"/>
    <w:multiLevelType w:val="multilevel"/>
    <w:tmpl w:val="DD92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6811604"/>
    <w:multiLevelType w:val="hybridMultilevel"/>
    <w:tmpl w:val="DF4AD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728C6"/>
    <w:multiLevelType w:val="hybridMultilevel"/>
    <w:tmpl w:val="C4D83D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957212"/>
    <w:multiLevelType w:val="multilevel"/>
    <w:tmpl w:val="BD6E9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353731"/>
    <w:multiLevelType w:val="multilevel"/>
    <w:tmpl w:val="3276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351F43"/>
    <w:multiLevelType w:val="multilevel"/>
    <w:tmpl w:val="0AFE0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3A59E4"/>
    <w:multiLevelType w:val="multilevel"/>
    <w:tmpl w:val="76FAD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E47524F"/>
    <w:multiLevelType w:val="hybridMultilevel"/>
    <w:tmpl w:val="AE9040B0"/>
    <w:lvl w:ilvl="0" w:tplc="20FCDFB8">
      <w:start w:val="1"/>
      <w:numFmt w:val="bullet"/>
      <w:lvlText w:val="•"/>
      <w:lvlJc w:val="left"/>
      <w:pPr>
        <w:tabs>
          <w:tab w:val="num" w:pos="720"/>
        </w:tabs>
        <w:ind w:left="720" w:hanging="360"/>
      </w:pPr>
      <w:rPr>
        <w:rFonts w:ascii="Arial" w:hAnsi="Arial" w:hint="default"/>
      </w:rPr>
    </w:lvl>
    <w:lvl w:ilvl="1" w:tplc="13F0642C" w:tentative="1">
      <w:start w:val="1"/>
      <w:numFmt w:val="bullet"/>
      <w:lvlText w:val="•"/>
      <w:lvlJc w:val="left"/>
      <w:pPr>
        <w:tabs>
          <w:tab w:val="num" w:pos="1440"/>
        </w:tabs>
        <w:ind w:left="1440" w:hanging="360"/>
      </w:pPr>
      <w:rPr>
        <w:rFonts w:ascii="Arial" w:hAnsi="Arial" w:hint="default"/>
      </w:rPr>
    </w:lvl>
    <w:lvl w:ilvl="2" w:tplc="66AA0BF4" w:tentative="1">
      <w:start w:val="1"/>
      <w:numFmt w:val="bullet"/>
      <w:lvlText w:val="•"/>
      <w:lvlJc w:val="left"/>
      <w:pPr>
        <w:tabs>
          <w:tab w:val="num" w:pos="2160"/>
        </w:tabs>
        <w:ind w:left="2160" w:hanging="360"/>
      </w:pPr>
      <w:rPr>
        <w:rFonts w:ascii="Arial" w:hAnsi="Arial" w:hint="default"/>
      </w:rPr>
    </w:lvl>
    <w:lvl w:ilvl="3" w:tplc="0E2C2BC2" w:tentative="1">
      <w:start w:val="1"/>
      <w:numFmt w:val="bullet"/>
      <w:lvlText w:val="•"/>
      <w:lvlJc w:val="left"/>
      <w:pPr>
        <w:tabs>
          <w:tab w:val="num" w:pos="2880"/>
        </w:tabs>
        <w:ind w:left="2880" w:hanging="360"/>
      </w:pPr>
      <w:rPr>
        <w:rFonts w:ascii="Arial" w:hAnsi="Arial" w:hint="default"/>
      </w:rPr>
    </w:lvl>
    <w:lvl w:ilvl="4" w:tplc="2E62C136" w:tentative="1">
      <w:start w:val="1"/>
      <w:numFmt w:val="bullet"/>
      <w:lvlText w:val="•"/>
      <w:lvlJc w:val="left"/>
      <w:pPr>
        <w:tabs>
          <w:tab w:val="num" w:pos="3600"/>
        </w:tabs>
        <w:ind w:left="3600" w:hanging="360"/>
      </w:pPr>
      <w:rPr>
        <w:rFonts w:ascii="Arial" w:hAnsi="Arial" w:hint="default"/>
      </w:rPr>
    </w:lvl>
    <w:lvl w:ilvl="5" w:tplc="D9D671F8" w:tentative="1">
      <w:start w:val="1"/>
      <w:numFmt w:val="bullet"/>
      <w:lvlText w:val="•"/>
      <w:lvlJc w:val="left"/>
      <w:pPr>
        <w:tabs>
          <w:tab w:val="num" w:pos="4320"/>
        </w:tabs>
        <w:ind w:left="4320" w:hanging="360"/>
      </w:pPr>
      <w:rPr>
        <w:rFonts w:ascii="Arial" w:hAnsi="Arial" w:hint="default"/>
      </w:rPr>
    </w:lvl>
    <w:lvl w:ilvl="6" w:tplc="B9408552" w:tentative="1">
      <w:start w:val="1"/>
      <w:numFmt w:val="bullet"/>
      <w:lvlText w:val="•"/>
      <w:lvlJc w:val="left"/>
      <w:pPr>
        <w:tabs>
          <w:tab w:val="num" w:pos="5040"/>
        </w:tabs>
        <w:ind w:left="5040" w:hanging="360"/>
      </w:pPr>
      <w:rPr>
        <w:rFonts w:ascii="Arial" w:hAnsi="Arial" w:hint="default"/>
      </w:rPr>
    </w:lvl>
    <w:lvl w:ilvl="7" w:tplc="12443848" w:tentative="1">
      <w:start w:val="1"/>
      <w:numFmt w:val="bullet"/>
      <w:lvlText w:val="•"/>
      <w:lvlJc w:val="left"/>
      <w:pPr>
        <w:tabs>
          <w:tab w:val="num" w:pos="5760"/>
        </w:tabs>
        <w:ind w:left="5760" w:hanging="360"/>
      </w:pPr>
      <w:rPr>
        <w:rFonts w:ascii="Arial" w:hAnsi="Arial" w:hint="default"/>
      </w:rPr>
    </w:lvl>
    <w:lvl w:ilvl="8" w:tplc="751C32BC" w:tentative="1">
      <w:start w:val="1"/>
      <w:numFmt w:val="bullet"/>
      <w:lvlText w:val="•"/>
      <w:lvlJc w:val="left"/>
      <w:pPr>
        <w:tabs>
          <w:tab w:val="num" w:pos="6480"/>
        </w:tabs>
        <w:ind w:left="6480" w:hanging="360"/>
      </w:pPr>
      <w:rPr>
        <w:rFonts w:ascii="Arial" w:hAnsi="Arial" w:hint="default"/>
      </w:rPr>
    </w:lvl>
  </w:abstractNum>
  <w:abstractNum w:abstractNumId="40" w15:restartNumberingAfterBreak="0">
    <w:nsid w:val="4FE66FB2"/>
    <w:multiLevelType w:val="multilevel"/>
    <w:tmpl w:val="860ABFC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12126B0"/>
    <w:multiLevelType w:val="hybridMultilevel"/>
    <w:tmpl w:val="35F0948E"/>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9E5C42"/>
    <w:multiLevelType w:val="hybridMultilevel"/>
    <w:tmpl w:val="53B475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5CC44DD"/>
    <w:multiLevelType w:val="multilevel"/>
    <w:tmpl w:val="29B4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5FC62E0"/>
    <w:multiLevelType w:val="multilevel"/>
    <w:tmpl w:val="D06AF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7372C8A"/>
    <w:multiLevelType w:val="multilevel"/>
    <w:tmpl w:val="BEE2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BCE4647"/>
    <w:multiLevelType w:val="hybridMultilevel"/>
    <w:tmpl w:val="EA2AD008"/>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5F700BF8"/>
    <w:multiLevelType w:val="hybridMultilevel"/>
    <w:tmpl w:val="E6BC6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21A5606"/>
    <w:multiLevelType w:val="hybridMultilevel"/>
    <w:tmpl w:val="8340CFE6"/>
    <w:lvl w:ilvl="0" w:tplc="9176D262">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49" w15:restartNumberingAfterBreak="0">
    <w:nsid w:val="628A01A4"/>
    <w:multiLevelType w:val="multilevel"/>
    <w:tmpl w:val="307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30E5BA8"/>
    <w:multiLevelType w:val="multilevel"/>
    <w:tmpl w:val="ED5E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4F4296E"/>
    <w:multiLevelType w:val="multilevel"/>
    <w:tmpl w:val="217E650A"/>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1890"/>
        </w:tabs>
        <w:ind w:left="1890" w:hanging="360"/>
      </w:pPr>
      <w:rPr>
        <w:rFonts w:ascii="Wingdings" w:hAnsi="Wingdings" w:hint="default"/>
        <w:sz w:val="20"/>
      </w:rPr>
    </w:lvl>
    <w:lvl w:ilvl="3" w:tentative="1">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330"/>
        </w:tabs>
        <w:ind w:left="3330" w:hanging="360"/>
      </w:pPr>
      <w:rPr>
        <w:rFonts w:ascii="Wingdings" w:hAnsi="Wingdings" w:hint="default"/>
        <w:sz w:val="20"/>
      </w:rPr>
    </w:lvl>
    <w:lvl w:ilvl="5" w:tentative="1">
      <w:start w:val="1"/>
      <w:numFmt w:val="bullet"/>
      <w:lvlText w:val=""/>
      <w:lvlJc w:val="left"/>
      <w:pPr>
        <w:tabs>
          <w:tab w:val="num" w:pos="4050"/>
        </w:tabs>
        <w:ind w:left="4050" w:hanging="360"/>
      </w:pPr>
      <w:rPr>
        <w:rFonts w:ascii="Wingdings" w:hAnsi="Wingdings" w:hint="default"/>
        <w:sz w:val="20"/>
      </w:rPr>
    </w:lvl>
    <w:lvl w:ilvl="6" w:tentative="1">
      <w:start w:val="1"/>
      <w:numFmt w:val="bullet"/>
      <w:lvlText w:val=""/>
      <w:lvlJc w:val="left"/>
      <w:pPr>
        <w:tabs>
          <w:tab w:val="num" w:pos="4770"/>
        </w:tabs>
        <w:ind w:left="4770" w:hanging="360"/>
      </w:pPr>
      <w:rPr>
        <w:rFonts w:ascii="Wingdings" w:hAnsi="Wingdings" w:hint="default"/>
        <w:sz w:val="20"/>
      </w:rPr>
    </w:lvl>
    <w:lvl w:ilvl="7" w:tentative="1">
      <w:start w:val="1"/>
      <w:numFmt w:val="bullet"/>
      <w:lvlText w:val=""/>
      <w:lvlJc w:val="left"/>
      <w:pPr>
        <w:tabs>
          <w:tab w:val="num" w:pos="5490"/>
        </w:tabs>
        <w:ind w:left="5490" w:hanging="360"/>
      </w:pPr>
      <w:rPr>
        <w:rFonts w:ascii="Wingdings" w:hAnsi="Wingdings" w:hint="default"/>
        <w:sz w:val="20"/>
      </w:rPr>
    </w:lvl>
    <w:lvl w:ilvl="8" w:tentative="1">
      <w:start w:val="1"/>
      <w:numFmt w:val="bullet"/>
      <w:lvlText w:val=""/>
      <w:lvlJc w:val="left"/>
      <w:pPr>
        <w:tabs>
          <w:tab w:val="num" w:pos="6210"/>
        </w:tabs>
        <w:ind w:left="6210" w:hanging="360"/>
      </w:pPr>
      <w:rPr>
        <w:rFonts w:ascii="Wingdings" w:hAnsi="Wingdings" w:hint="default"/>
        <w:sz w:val="20"/>
      </w:rPr>
    </w:lvl>
  </w:abstractNum>
  <w:abstractNum w:abstractNumId="52" w15:restartNumberingAfterBreak="0">
    <w:nsid w:val="694E2981"/>
    <w:multiLevelType w:val="multilevel"/>
    <w:tmpl w:val="054C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A8675AE"/>
    <w:multiLevelType w:val="multilevel"/>
    <w:tmpl w:val="C190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FF67CD4"/>
    <w:multiLevelType w:val="multilevel"/>
    <w:tmpl w:val="54FCBC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371139F"/>
    <w:multiLevelType w:val="hybridMultilevel"/>
    <w:tmpl w:val="319CA87A"/>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6" w15:restartNumberingAfterBreak="0">
    <w:nsid w:val="76A20014"/>
    <w:multiLevelType w:val="multilevel"/>
    <w:tmpl w:val="533465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92262C8"/>
    <w:multiLevelType w:val="multilevel"/>
    <w:tmpl w:val="A27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686688"/>
    <w:multiLevelType w:val="hybridMultilevel"/>
    <w:tmpl w:val="8A22A82A"/>
    <w:lvl w:ilvl="0" w:tplc="08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6474408">
    <w:abstractNumId w:val="48"/>
  </w:num>
  <w:num w:numId="2" w16cid:durableId="1017199398">
    <w:abstractNumId w:val="31"/>
  </w:num>
  <w:num w:numId="3" w16cid:durableId="291248464">
    <w:abstractNumId w:val="28"/>
  </w:num>
  <w:num w:numId="4" w16cid:durableId="800457377">
    <w:abstractNumId w:val="6"/>
  </w:num>
  <w:num w:numId="5" w16cid:durableId="1791239318">
    <w:abstractNumId w:val="23"/>
  </w:num>
  <w:num w:numId="6" w16cid:durableId="1234075453">
    <w:abstractNumId w:val="50"/>
  </w:num>
  <w:num w:numId="7" w16cid:durableId="1863519245">
    <w:abstractNumId w:val="2"/>
  </w:num>
  <w:num w:numId="8" w16cid:durableId="616957487">
    <w:abstractNumId w:val="47"/>
  </w:num>
  <w:num w:numId="9" w16cid:durableId="912348851">
    <w:abstractNumId w:val="38"/>
  </w:num>
  <w:num w:numId="10" w16cid:durableId="1594510003">
    <w:abstractNumId w:val="5"/>
  </w:num>
  <w:num w:numId="11" w16cid:durableId="1470439766">
    <w:abstractNumId w:val="8"/>
  </w:num>
  <w:num w:numId="12" w16cid:durableId="90593077">
    <w:abstractNumId w:val="11"/>
  </w:num>
  <w:num w:numId="13" w16cid:durableId="2089840526">
    <w:abstractNumId w:val="40"/>
  </w:num>
  <w:num w:numId="14" w16cid:durableId="1891763555">
    <w:abstractNumId w:val="39"/>
  </w:num>
  <w:num w:numId="15" w16cid:durableId="1438135467">
    <w:abstractNumId w:val="25"/>
  </w:num>
  <w:num w:numId="16" w16cid:durableId="693305361">
    <w:abstractNumId w:val="22"/>
  </w:num>
  <w:num w:numId="17" w16cid:durableId="656766355">
    <w:abstractNumId w:val="41"/>
  </w:num>
  <w:num w:numId="18" w16cid:durableId="283579295">
    <w:abstractNumId w:val="58"/>
  </w:num>
  <w:num w:numId="19" w16cid:durableId="84033760">
    <w:abstractNumId w:val="4"/>
  </w:num>
  <w:num w:numId="20" w16cid:durableId="1446197117">
    <w:abstractNumId w:val="46"/>
  </w:num>
  <w:num w:numId="21" w16cid:durableId="153880659">
    <w:abstractNumId w:val="16"/>
  </w:num>
  <w:num w:numId="22" w16cid:durableId="1713381878">
    <w:abstractNumId w:val="32"/>
  </w:num>
  <w:num w:numId="23" w16cid:durableId="1580864233">
    <w:abstractNumId w:val="17"/>
  </w:num>
  <w:num w:numId="24" w16cid:durableId="1563255532">
    <w:abstractNumId w:val="55"/>
  </w:num>
  <w:num w:numId="25" w16cid:durableId="1318799543">
    <w:abstractNumId w:val="19"/>
  </w:num>
  <w:num w:numId="26" w16cid:durableId="1619141720">
    <w:abstractNumId w:val="1"/>
  </w:num>
  <w:num w:numId="27" w16cid:durableId="199822889">
    <w:abstractNumId w:val="29"/>
  </w:num>
  <w:num w:numId="28" w16cid:durableId="446240013">
    <w:abstractNumId w:val="57"/>
  </w:num>
  <w:num w:numId="29" w16cid:durableId="542330441">
    <w:abstractNumId w:val="30"/>
  </w:num>
  <w:num w:numId="30" w16cid:durableId="188107290">
    <w:abstractNumId w:val="15"/>
  </w:num>
  <w:num w:numId="31" w16cid:durableId="99226114">
    <w:abstractNumId w:val="9"/>
  </w:num>
  <w:num w:numId="32" w16cid:durableId="596325965">
    <w:abstractNumId w:val="0"/>
  </w:num>
  <w:num w:numId="33" w16cid:durableId="2112780809">
    <w:abstractNumId w:val="53"/>
  </w:num>
  <w:num w:numId="34" w16cid:durableId="1249804172">
    <w:abstractNumId w:val="12"/>
  </w:num>
  <w:num w:numId="35" w16cid:durableId="522672833">
    <w:abstractNumId w:val="56"/>
  </w:num>
  <w:num w:numId="36" w16cid:durableId="1505630854">
    <w:abstractNumId w:val="54"/>
  </w:num>
  <w:num w:numId="37" w16cid:durableId="1873613251">
    <w:abstractNumId w:val="24"/>
  </w:num>
  <w:num w:numId="38" w16cid:durableId="49305173">
    <w:abstractNumId w:val="13"/>
  </w:num>
  <w:num w:numId="39" w16cid:durableId="1206941662">
    <w:abstractNumId w:val="34"/>
  </w:num>
  <w:num w:numId="40" w16cid:durableId="1490093608">
    <w:abstractNumId w:val="51"/>
  </w:num>
  <w:num w:numId="41" w16cid:durableId="670528521">
    <w:abstractNumId w:val="27"/>
  </w:num>
  <w:num w:numId="42" w16cid:durableId="1194612604">
    <w:abstractNumId w:val="35"/>
  </w:num>
  <w:num w:numId="43" w16cid:durableId="2111661411">
    <w:abstractNumId w:val="42"/>
  </w:num>
  <w:num w:numId="44" w16cid:durableId="544368922">
    <w:abstractNumId w:val="44"/>
  </w:num>
  <w:num w:numId="45" w16cid:durableId="223032070">
    <w:abstractNumId w:val="49"/>
  </w:num>
  <w:num w:numId="46" w16cid:durableId="756244457">
    <w:abstractNumId w:val="21"/>
  </w:num>
  <w:num w:numId="47" w16cid:durableId="768620744">
    <w:abstractNumId w:val="26"/>
  </w:num>
  <w:num w:numId="48" w16cid:durableId="1008481792">
    <w:abstractNumId w:val="7"/>
  </w:num>
  <w:num w:numId="49" w16cid:durableId="955061666">
    <w:abstractNumId w:val="45"/>
  </w:num>
  <w:num w:numId="50" w16cid:durableId="490685071">
    <w:abstractNumId w:val="14"/>
  </w:num>
  <w:num w:numId="51" w16cid:durableId="860432556">
    <w:abstractNumId w:val="52"/>
  </w:num>
  <w:num w:numId="52" w16cid:durableId="1616449546">
    <w:abstractNumId w:val="10"/>
  </w:num>
  <w:num w:numId="53" w16cid:durableId="1008945867">
    <w:abstractNumId w:val="3"/>
  </w:num>
  <w:num w:numId="54" w16cid:durableId="10106695">
    <w:abstractNumId w:val="18"/>
  </w:num>
  <w:num w:numId="55" w16cid:durableId="896937822">
    <w:abstractNumId w:val="33"/>
  </w:num>
  <w:num w:numId="56" w16cid:durableId="1833175490">
    <w:abstractNumId w:val="20"/>
  </w:num>
  <w:num w:numId="57" w16cid:durableId="2090692236">
    <w:abstractNumId w:val="43"/>
  </w:num>
  <w:num w:numId="58" w16cid:durableId="60829036">
    <w:abstractNumId w:val="36"/>
  </w:num>
  <w:num w:numId="59" w16cid:durableId="168717536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37"/>
    <w:rsid w:val="000005E9"/>
    <w:rsid w:val="00001D4F"/>
    <w:rsid w:val="00006E70"/>
    <w:rsid w:val="00025760"/>
    <w:rsid w:val="00033E1C"/>
    <w:rsid w:val="00046787"/>
    <w:rsid w:val="0005716A"/>
    <w:rsid w:val="000D6EE9"/>
    <w:rsid w:val="000E5B2D"/>
    <w:rsid w:val="00100374"/>
    <w:rsid w:val="0011027A"/>
    <w:rsid w:val="00117062"/>
    <w:rsid w:val="001459F3"/>
    <w:rsid w:val="001542C3"/>
    <w:rsid w:val="001D7156"/>
    <w:rsid w:val="00203A8B"/>
    <w:rsid w:val="002277C1"/>
    <w:rsid w:val="002936D0"/>
    <w:rsid w:val="002B2B9E"/>
    <w:rsid w:val="002F7EB3"/>
    <w:rsid w:val="00333528"/>
    <w:rsid w:val="003433F3"/>
    <w:rsid w:val="00347A5F"/>
    <w:rsid w:val="003542E5"/>
    <w:rsid w:val="003672C0"/>
    <w:rsid w:val="0038210D"/>
    <w:rsid w:val="003B67A7"/>
    <w:rsid w:val="003D20AC"/>
    <w:rsid w:val="003F5D17"/>
    <w:rsid w:val="00410F5F"/>
    <w:rsid w:val="00431375"/>
    <w:rsid w:val="004317F8"/>
    <w:rsid w:val="00432673"/>
    <w:rsid w:val="00436AF6"/>
    <w:rsid w:val="0045061A"/>
    <w:rsid w:val="00480A10"/>
    <w:rsid w:val="004C6C81"/>
    <w:rsid w:val="004D280A"/>
    <w:rsid w:val="00502EA7"/>
    <w:rsid w:val="00503CA8"/>
    <w:rsid w:val="0051288E"/>
    <w:rsid w:val="00514ED4"/>
    <w:rsid w:val="005272CB"/>
    <w:rsid w:val="0053437A"/>
    <w:rsid w:val="00552956"/>
    <w:rsid w:val="00570022"/>
    <w:rsid w:val="005D7F9A"/>
    <w:rsid w:val="00611E12"/>
    <w:rsid w:val="00614709"/>
    <w:rsid w:val="006331B9"/>
    <w:rsid w:val="00633737"/>
    <w:rsid w:val="00675020"/>
    <w:rsid w:val="00692F26"/>
    <w:rsid w:val="006D4BA2"/>
    <w:rsid w:val="00767FEE"/>
    <w:rsid w:val="00797183"/>
    <w:rsid w:val="007A0058"/>
    <w:rsid w:val="007A799E"/>
    <w:rsid w:val="007C00BC"/>
    <w:rsid w:val="007F410E"/>
    <w:rsid w:val="0080486B"/>
    <w:rsid w:val="00823B81"/>
    <w:rsid w:val="0082765A"/>
    <w:rsid w:val="0083473B"/>
    <w:rsid w:val="00837BC7"/>
    <w:rsid w:val="0084716E"/>
    <w:rsid w:val="00847F10"/>
    <w:rsid w:val="008560EE"/>
    <w:rsid w:val="0086672C"/>
    <w:rsid w:val="00872E37"/>
    <w:rsid w:val="0087780C"/>
    <w:rsid w:val="008A3B7C"/>
    <w:rsid w:val="008B5C0D"/>
    <w:rsid w:val="00986C14"/>
    <w:rsid w:val="009961B1"/>
    <w:rsid w:val="009A4FE5"/>
    <w:rsid w:val="00A077AD"/>
    <w:rsid w:val="00A14E2B"/>
    <w:rsid w:val="00A4627C"/>
    <w:rsid w:val="00A51C4A"/>
    <w:rsid w:val="00A6218C"/>
    <w:rsid w:val="00A70E2E"/>
    <w:rsid w:val="00A87F44"/>
    <w:rsid w:val="00AC3B0C"/>
    <w:rsid w:val="00AC77A2"/>
    <w:rsid w:val="00AF5BD6"/>
    <w:rsid w:val="00B1713F"/>
    <w:rsid w:val="00B27370"/>
    <w:rsid w:val="00B37EED"/>
    <w:rsid w:val="00B53838"/>
    <w:rsid w:val="00B74640"/>
    <w:rsid w:val="00B90F36"/>
    <w:rsid w:val="00BA7A5F"/>
    <w:rsid w:val="00BC5B8A"/>
    <w:rsid w:val="00BE3F80"/>
    <w:rsid w:val="00BF46FB"/>
    <w:rsid w:val="00C17F4B"/>
    <w:rsid w:val="00C5526E"/>
    <w:rsid w:val="00C60313"/>
    <w:rsid w:val="00C848D4"/>
    <w:rsid w:val="00C969B3"/>
    <w:rsid w:val="00CB0378"/>
    <w:rsid w:val="00CE1B79"/>
    <w:rsid w:val="00D17582"/>
    <w:rsid w:val="00D17D1D"/>
    <w:rsid w:val="00D25D8B"/>
    <w:rsid w:val="00D26E95"/>
    <w:rsid w:val="00D32E2F"/>
    <w:rsid w:val="00D81E97"/>
    <w:rsid w:val="00D82628"/>
    <w:rsid w:val="00E03D3D"/>
    <w:rsid w:val="00E143A1"/>
    <w:rsid w:val="00E160C4"/>
    <w:rsid w:val="00E34BA9"/>
    <w:rsid w:val="00E75682"/>
    <w:rsid w:val="00E7720E"/>
    <w:rsid w:val="00E9079F"/>
    <w:rsid w:val="00ED2D38"/>
    <w:rsid w:val="00EE0BB0"/>
    <w:rsid w:val="00EF5AB9"/>
    <w:rsid w:val="00F00451"/>
    <w:rsid w:val="00F00570"/>
    <w:rsid w:val="00F47E22"/>
    <w:rsid w:val="00F67312"/>
    <w:rsid w:val="00F6777D"/>
    <w:rsid w:val="00F92221"/>
    <w:rsid w:val="00FA0BC4"/>
    <w:rsid w:val="00FC114B"/>
    <w:rsid w:val="00FF50FE"/>
    <w:rsid w:val="00FF6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517D"/>
  <w15:chartTrackingRefBased/>
  <w15:docId w15:val="{A8286038-9A9E-5940-AAA9-060E12A35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before="240" w:after="240"/>
        <w:ind w:left="85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A5F"/>
    <w:pPr>
      <w:spacing w:before="0" w:after="0"/>
      <w:ind w:left="0"/>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CE1B7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27370"/>
    <w:pPr>
      <w:spacing w:before="100" w:beforeAutospacing="1" w:after="100" w:afterAutospacing="1"/>
      <w:outlineLvl w:val="1"/>
    </w:pPr>
    <w:rPr>
      <w:b/>
      <w:bCs/>
      <w:sz w:val="36"/>
      <w:szCs w:val="36"/>
      <w:lang w:eastAsia="en-GB"/>
    </w:rPr>
  </w:style>
  <w:style w:type="paragraph" w:styleId="Heading3">
    <w:name w:val="heading 3"/>
    <w:basedOn w:val="Normal"/>
    <w:next w:val="Normal"/>
    <w:link w:val="Heading3Char"/>
    <w:uiPriority w:val="9"/>
    <w:semiHidden/>
    <w:unhideWhenUsed/>
    <w:qFormat/>
    <w:rsid w:val="00872E3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872E3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D25D8B"/>
  </w:style>
  <w:style w:type="paragraph" w:styleId="ListParagraph">
    <w:name w:val="List Paragraph"/>
    <w:basedOn w:val="Normal"/>
    <w:uiPriority w:val="34"/>
    <w:qFormat/>
    <w:rsid w:val="00692F26"/>
    <w:pPr>
      <w:ind w:left="720"/>
      <w:contextualSpacing/>
    </w:pPr>
  </w:style>
  <w:style w:type="character" w:customStyle="1" w:styleId="Heading2Char">
    <w:name w:val="Heading 2 Char"/>
    <w:basedOn w:val="DefaultParagraphFont"/>
    <w:link w:val="Heading2"/>
    <w:uiPriority w:val="9"/>
    <w:rsid w:val="00B27370"/>
    <w:rPr>
      <w:rFonts w:ascii="Times New Roman" w:eastAsia="Times New Roman" w:hAnsi="Times New Roman" w:cs="Times New Roman"/>
      <w:b/>
      <w:bCs/>
      <w:kern w:val="0"/>
      <w:sz w:val="36"/>
      <w:szCs w:val="36"/>
      <w:lang w:eastAsia="en-GB"/>
      <w14:ligatures w14:val="none"/>
    </w:rPr>
  </w:style>
  <w:style w:type="paragraph" w:styleId="Header">
    <w:name w:val="header"/>
    <w:basedOn w:val="Normal"/>
    <w:link w:val="HeaderChar"/>
    <w:uiPriority w:val="99"/>
    <w:unhideWhenUsed/>
    <w:rsid w:val="00C60313"/>
    <w:pPr>
      <w:tabs>
        <w:tab w:val="center" w:pos="4513"/>
        <w:tab w:val="right" w:pos="9026"/>
      </w:tabs>
    </w:pPr>
  </w:style>
  <w:style w:type="character" w:customStyle="1" w:styleId="HeaderChar">
    <w:name w:val="Header Char"/>
    <w:basedOn w:val="DefaultParagraphFont"/>
    <w:link w:val="Header"/>
    <w:uiPriority w:val="99"/>
    <w:rsid w:val="00C60313"/>
  </w:style>
  <w:style w:type="character" w:styleId="PageNumber">
    <w:name w:val="page number"/>
    <w:basedOn w:val="DefaultParagraphFont"/>
    <w:uiPriority w:val="99"/>
    <w:semiHidden/>
    <w:unhideWhenUsed/>
    <w:rsid w:val="00C60313"/>
  </w:style>
  <w:style w:type="paragraph" w:styleId="NoSpacing">
    <w:name w:val="No Spacing"/>
    <w:link w:val="NoSpacingChar"/>
    <w:uiPriority w:val="1"/>
    <w:qFormat/>
    <w:rsid w:val="001D7156"/>
    <w:pPr>
      <w:spacing w:before="0" w:after="0"/>
      <w:ind w:left="0"/>
    </w:pPr>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1D7156"/>
    <w:rPr>
      <w:rFonts w:eastAsiaTheme="minorEastAsia"/>
      <w:kern w:val="0"/>
      <w:sz w:val="22"/>
      <w:szCs w:val="22"/>
      <w:lang w:val="en-US" w:eastAsia="zh-CN"/>
      <w14:ligatures w14:val="none"/>
    </w:rPr>
  </w:style>
  <w:style w:type="character" w:styleId="Hyperlink">
    <w:name w:val="Hyperlink"/>
    <w:basedOn w:val="DefaultParagraphFont"/>
    <w:uiPriority w:val="99"/>
    <w:unhideWhenUsed/>
    <w:rsid w:val="00436AF6"/>
    <w:rPr>
      <w:color w:val="0563C1" w:themeColor="hyperlink"/>
      <w:u w:val="single"/>
    </w:rPr>
  </w:style>
  <w:style w:type="character" w:styleId="UnresolvedMention">
    <w:name w:val="Unresolved Mention"/>
    <w:basedOn w:val="DefaultParagraphFont"/>
    <w:uiPriority w:val="99"/>
    <w:semiHidden/>
    <w:unhideWhenUsed/>
    <w:rsid w:val="00436AF6"/>
    <w:rPr>
      <w:color w:val="605E5C"/>
      <w:shd w:val="clear" w:color="auto" w:fill="E1DFDD"/>
    </w:rPr>
  </w:style>
  <w:style w:type="character" w:styleId="HTMLCode">
    <w:name w:val="HTML Code"/>
    <w:basedOn w:val="DefaultParagraphFont"/>
    <w:uiPriority w:val="99"/>
    <w:semiHidden/>
    <w:unhideWhenUsed/>
    <w:rsid w:val="00A077AD"/>
    <w:rPr>
      <w:rFonts w:ascii="Courier New" w:eastAsia="Times New Roman" w:hAnsi="Courier New" w:cs="Courier New"/>
      <w:sz w:val="20"/>
      <w:szCs w:val="20"/>
    </w:rPr>
  </w:style>
  <w:style w:type="paragraph" w:styleId="NormalWeb">
    <w:name w:val="Normal (Web)"/>
    <w:basedOn w:val="Normal"/>
    <w:uiPriority w:val="99"/>
    <w:unhideWhenUsed/>
    <w:rsid w:val="00A077AD"/>
    <w:pPr>
      <w:spacing w:before="100" w:beforeAutospacing="1" w:after="100" w:afterAutospacing="1"/>
    </w:pPr>
  </w:style>
  <w:style w:type="character" w:styleId="FollowedHyperlink">
    <w:name w:val="FollowedHyperlink"/>
    <w:basedOn w:val="DefaultParagraphFont"/>
    <w:uiPriority w:val="99"/>
    <w:semiHidden/>
    <w:unhideWhenUsed/>
    <w:rsid w:val="00E34BA9"/>
    <w:rPr>
      <w:color w:val="954F72" w:themeColor="followedHyperlink"/>
      <w:u w:val="single"/>
    </w:rPr>
  </w:style>
  <w:style w:type="character" w:customStyle="1" w:styleId="Heading1Char">
    <w:name w:val="Heading 1 Char"/>
    <w:basedOn w:val="DefaultParagraphFont"/>
    <w:link w:val="Heading1"/>
    <w:uiPriority w:val="9"/>
    <w:rsid w:val="00CE1B79"/>
    <w:rPr>
      <w:rFonts w:asciiTheme="majorHAnsi" w:eastAsiaTheme="majorEastAsia" w:hAnsiTheme="majorHAnsi" w:cstheme="majorBidi"/>
      <w:color w:val="2F5496" w:themeColor="accent1" w:themeShade="BF"/>
      <w:kern w:val="0"/>
      <w:sz w:val="32"/>
      <w:szCs w:val="32"/>
      <w:lang w:val="en-US"/>
      <w14:ligatures w14:val="none"/>
    </w:rPr>
  </w:style>
  <w:style w:type="character" w:styleId="Strong">
    <w:name w:val="Strong"/>
    <w:basedOn w:val="DefaultParagraphFont"/>
    <w:uiPriority w:val="22"/>
    <w:qFormat/>
    <w:rsid w:val="00A51C4A"/>
    <w:rPr>
      <w:b/>
      <w:bCs/>
    </w:rPr>
  </w:style>
  <w:style w:type="character" w:customStyle="1" w:styleId="textlayer--absolute">
    <w:name w:val="textlayer--absolute"/>
    <w:basedOn w:val="DefaultParagraphFont"/>
    <w:rsid w:val="00D17D1D"/>
  </w:style>
  <w:style w:type="paragraph" w:customStyle="1" w:styleId="muitypography-root">
    <w:name w:val="muitypography-root"/>
    <w:basedOn w:val="Normal"/>
    <w:rsid w:val="004317F8"/>
    <w:pPr>
      <w:spacing w:before="100" w:beforeAutospacing="1" w:after="100" w:afterAutospacing="1"/>
    </w:pPr>
  </w:style>
  <w:style w:type="character" w:customStyle="1" w:styleId="Heading3Char">
    <w:name w:val="Heading 3 Char"/>
    <w:basedOn w:val="DefaultParagraphFont"/>
    <w:link w:val="Heading3"/>
    <w:uiPriority w:val="9"/>
    <w:semiHidden/>
    <w:rsid w:val="00872E37"/>
    <w:rPr>
      <w:rFonts w:asciiTheme="majorHAnsi" w:eastAsiaTheme="majorEastAsia" w:hAnsiTheme="majorHAnsi" w:cstheme="majorBidi"/>
      <w:color w:val="1F3763" w:themeColor="accent1" w:themeShade="7F"/>
      <w:kern w:val="0"/>
      <w:lang w:val="en-US"/>
      <w14:ligatures w14:val="none"/>
    </w:rPr>
  </w:style>
  <w:style w:type="character" w:customStyle="1" w:styleId="Heading4Char">
    <w:name w:val="Heading 4 Char"/>
    <w:basedOn w:val="DefaultParagraphFont"/>
    <w:link w:val="Heading4"/>
    <w:uiPriority w:val="9"/>
    <w:semiHidden/>
    <w:rsid w:val="00872E37"/>
    <w:rPr>
      <w:rFonts w:asciiTheme="majorHAnsi" w:eastAsiaTheme="majorEastAsia" w:hAnsiTheme="majorHAnsi" w:cstheme="majorBidi"/>
      <w:i/>
      <w:iCs/>
      <w:color w:val="2F5496" w:themeColor="accent1" w:themeShade="BF"/>
      <w:kern w:val="0"/>
      <w:lang w:val="en-US"/>
      <w14:ligatures w14:val="none"/>
    </w:rPr>
  </w:style>
  <w:style w:type="character" w:customStyle="1" w:styleId="katex-mathml">
    <w:name w:val="katex-mathml"/>
    <w:basedOn w:val="DefaultParagraphFont"/>
    <w:rsid w:val="009961B1"/>
  </w:style>
  <w:style w:type="character" w:customStyle="1" w:styleId="mopen">
    <w:name w:val="mopen"/>
    <w:basedOn w:val="DefaultParagraphFont"/>
    <w:rsid w:val="009961B1"/>
  </w:style>
  <w:style w:type="character" w:customStyle="1" w:styleId="delimsizing">
    <w:name w:val="delimsizing"/>
    <w:basedOn w:val="DefaultParagraphFont"/>
    <w:rsid w:val="009961B1"/>
  </w:style>
  <w:style w:type="character" w:customStyle="1" w:styleId="mord">
    <w:name w:val="mord"/>
    <w:basedOn w:val="DefaultParagraphFont"/>
    <w:rsid w:val="009961B1"/>
  </w:style>
  <w:style w:type="character" w:customStyle="1" w:styleId="mbin">
    <w:name w:val="mbin"/>
    <w:basedOn w:val="DefaultParagraphFont"/>
    <w:rsid w:val="009961B1"/>
  </w:style>
  <w:style w:type="character" w:customStyle="1" w:styleId="mclose">
    <w:name w:val="mclose"/>
    <w:basedOn w:val="DefaultParagraphFont"/>
    <w:rsid w:val="009961B1"/>
  </w:style>
  <w:style w:type="character" w:customStyle="1" w:styleId="vlist-s">
    <w:name w:val="vlist-s"/>
    <w:basedOn w:val="DefaultParagraphFont"/>
    <w:rsid w:val="009961B1"/>
  </w:style>
  <w:style w:type="character" w:styleId="Emphasis">
    <w:name w:val="Emphasis"/>
    <w:basedOn w:val="DefaultParagraphFont"/>
    <w:uiPriority w:val="20"/>
    <w:qFormat/>
    <w:rsid w:val="006331B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091">
      <w:bodyDiv w:val="1"/>
      <w:marLeft w:val="0"/>
      <w:marRight w:val="0"/>
      <w:marTop w:val="0"/>
      <w:marBottom w:val="0"/>
      <w:divBdr>
        <w:top w:val="none" w:sz="0" w:space="0" w:color="auto"/>
        <w:left w:val="none" w:sz="0" w:space="0" w:color="auto"/>
        <w:bottom w:val="none" w:sz="0" w:space="0" w:color="auto"/>
        <w:right w:val="none" w:sz="0" w:space="0" w:color="auto"/>
      </w:divBdr>
    </w:div>
    <w:div w:id="37780491">
      <w:bodyDiv w:val="1"/>
      <w:marLeft w:val="0"/>
      <w:marRight w:val="0"/>
      <w:marTop w:val="0"/>
      <w:marBottom w:val="0"/>
      <w:divBdr>
        <w:top w:val="none" w:sz="0" w:space="0" w:color="auto"/>
        <w:left w:val="none" w:sz="0" w:space="0" w:color="auto"/>
        <w:bottom w:val="none" w:sz="0" w:space="0" w:color="auto"/>
        <w:right w:val="none" w:sz="0" w:space="0" w:color="auto"/>
      </w:divBdr>
    </w:div>
    <w:div w:id="74671299">
      <w:bodyDiv w:val="1"/>
      <w:marLeft w:val="0"/>
      <w:marRight w:val="0"/>
      <w:marTop w:val="0"/>
      <w:marBottom w:val="0"/>
      <w:divBdr>
        <w:top w:val="none" w:sz="0" w:space="0" w:color="auto"/>
        <w:left w:val="none" w:sz="0" w:space="0" w:color="auto"/>
        <w:bottom w:val="none" w:sz="0" w:space="0" w:color="auto"/>
        <w:right w:val="none" w:sz="0" w:space="0" w:color="auto"/>
      </w:divBdr>
      <w:divsChild>
        <w:div w:id="1618370223">
          <w:marLeft w:val="0"/>
          <w:marRight w:val="0"/>
          <w:marTop w:val="0"/>
          <w:marBottom w:val="0"/>
          <w:divBdr>
            <w:top w:val="none" w:sz="0" w:space="0" w:color="auto"/>
            <w:left w:val="none" w:sz="0" w:space="0" w:color="auto"/>
            <w:bottom w:val="none" w:sz="0" w:space="0" w:color="auto"/>
            <w:right w:val="none" w:sz="0" w:space="0" w:color="auto"/>
          </w:divBdr>
          <w:divsChild>
            <w:div w:id="1244142710">
              <w:marLeft w:val="0"/>
              <w:marRight w:val="0"/>
              <w:marTop w:val="0"/>
              <w:marBottom w:val="0"/>
              <w:divBdr>
                <w:top w:val="none" w:sz="0" w:space="0" w:color="auto"/>
                <w:left w:val="none" w:sz="0" w:space="0" w:color="auto"/>
                <w:bottom w:val="none" w:sz="0" w:space="0" w:color="auto"/>
                <w:right w:val="none" w:sz="0" w:space="0" w:color="auto"/>
              </w:divBdr>
              <w:divsChild>
                <w:div w:id="178796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91759">
      <w:bodyDiv w:val="1"/>
      <w:marLeft w:val="0"/>
      <w:marRight w:val="0"/>
      <w:marTop w:val="0"/>
      <w:marBottom w:val="0"/>
      <w:divBdr>
        <w:top w:val="none" w:sz="0" w:space="0" w:color="auto"/>
        <w:left w:val="none" w:sz="0" w:space="0" w:color="auto"/>
        <w:bottom w:val="none" w:sz="0" w:space="0" w:color="auto"/>
        <w:right w:val="none" w:sz="0" w:space="0" w:color="auto"/>
      </w:divBdr>
    </w:div>
    <w:div w:id="111826315">
      <w:bodyDiv w:val="1"/>
      <w:marLeft w:val="0"/>
      <w:marRight w:val="0"/>
      <w:marTop w:val="0"/>
      <w:marBottom w:val="0"/>
      <w:divBdr>
        <w:top w:val="none" w:sz="0" w:space="0" w:color="auto"/>
        <w:left w:val="none" w:sz="0" w:space="0" w:color="auto"/>
        <w:bottom w:val="none" w:sz="0" w:space="0" w:color="auto"/>
        <w:right w:val="none" w:sz="0" w:space="0" w:color="auto"/>
      </w:divBdr>
    </w:div>
    <w:div w:id="115370360">
      <w:bodyDiv w:val="1"/>
      <w:marLeft w:val="0"/>
      <w:marRight w:val="0"/>
      <w:marTop w:val="0"/>
      <w:marBottom w:val="0"/>
      <w:divBdr>
        <w:top w:val="none" w:sz="0" w:space="0" w:color="auto"/>
        <w:left w:val="none" w:sz="0" w:space="0" w:color="auto"/>
        <w:bottom w:val="none" w:sz="0" w:space="0" w:color="auto"/>
        <w:right w:val="none" w:sz="0" w:space="0" w:color="auto"/>
      </w:divBdr>
    </w:div>
    <w:div w:id="123234880">
      <w:bodyDiv w:val="1"/>
      <w:marLeft w:val="0"/>
      <w:marRight w:val="0"/>
      <w:marTop w:val="0"/>
      <w:marBottom w:val="0"/>
      <w:divBdr>
        <w:top w:val="none" w:sz="0" w:space="0" w:color="auto"/>
        <w:left w:val="none" w:sz="0" w:space="0" w:color="auto"/>
        <w:bottom w:val="none" w:sz="0" w:space="0" w:color="auto"/>
        <w:right w:val="none" w:sz="0" w:space="0" w:color="auto"/>
      </w:divBdr>
    </w:div>
    <w:div w:id="181551355">
      <w:bodyDiv w:val="1"/>
      <w:marLeft w:val="0"/>
      <w:marRight w:val="0"/>
      <w:marTop w:val="0"/>
      <w:marBottom w:val="0"/>
      <w:divBdr>
        <w:top w:val="none" w:sz="0" w:space="0" w:color="auto"/>
        <w:left w:val="none" w:sz="0" w:space="0" w:color="auto"/>
        <w:bottom w:val="none" w:sz="0" w:space="0" w:color="auto"/>
        <w:right w:val="none" w:sz="0" w:space="0" w:color="auto"/>
      </w:divBdr>
    </w:div>
    <w:div w:id="185825183">
      <w:bodyDiv w:val="1"/>
      <w:marLeft w:val="0"/>
      <w:marRight w:val="0"/>
      <w:marTop w:val="0"/>
      <w:marBottom w:val="0"/>
      <w:divBdr>
        <w:top w:val="none" w:sz="0" w:space="0" w:color="auto"/>
        <w:left w:val="none" w:sz="0" w:space="0" w:color="auto"/>
        <w:bottom w:val="none" w:sz="0" w:space="0" w:color="auto"/>
        <w:right w:val="none" w:sz="0" w:space="0" w:color="auto"/>
      </w:divBdr>
    </w:div>
    <w:div w:id="265159435">
      <w:bodyDiv w:val="1"/>
      <w:marLeft w:val="0"/>
      <w:marRight w:val="0"/>
      <w:marTop w:val="0"/>
      <w:marBottom w:val="0"/>
      <w:divBdr>
        <w:top w:val="none" w:sz="0" w:space="0" w:color="auto"/>
        <w:left w:val="none" w:sz="0" w:space="0" w:color="auto"/>
        <w:bottom w:val="none" w:sz="0" w:space="0" w:color="auto"/>
        <w:right w:val="none" w:sz="0" w:space="0" w:color="auto"/>
      </w:divBdr>
    </w:div>
    <w:div w:id="281768366">
      <w:bodyDiv w:val="1"/>
      <w:marLeft w:val="0"/>
      <w:marRight w:val="0"/>
      <w:marTop w:val="0"/>
      <w:marBottom w:val="0"/>
      <w:divBdr>
        <w:top w:val="none" w:sz="0" w:space="0" w:color="auto"/>
        <w:left w:val="none" w:sz="0" w:space="0" w:color="auto"/>
        <w:bottom w:val="none" w:sz="0" w:space="0" w:color="auto"/>
        <w:right w:val="none" w:sz="0" w:space="0" w:color="auto"/>
      </w:divBdr>
    </w:div>
    <w:div w:id="304089084">
      <w:bodyDiv w:val="1"/>
      <w:marLeft w:val="0"/>
      <w:marRight w:val="0"/>
      <w:marTop w:val="0"/>
      <w:marBottom w:val="0"/>
      <w:divBdr>
        <w:top w:val="none" w:sz="0" w:space="0" w:color="auto"/>
        <w:left w:val="none" w:sz="0" w:space="0" w:color="auto"/>
        <w:bottom w:val="none" w:sz="0" w:space="0" w:color="auto"/>
        <w:right w:val="none" w:sz="0" w:space="0" w:color="auto"/>
      </w:divBdr>
    </w:div>
    <w:div w:id="320502470">
      <w:bodyDiv w:val="1"/>
      <w:marLeft w:val="0"/>
      <w:marRight w:val="0"/>
      <w:marTop w:val="0"/>
      <w:marBottom w:val="0"/>
      <w:divBdr>
        <w:top w:val="none" w:sz="0" w:space="0" w:color="auto"/>
        <w:left w:val="none" w:sz="0" w:space="0" w:color="auto"/>
        <w:bottom w:val="none" w:sz="0" w:space="0" w:color="auto"/>
        <w:right w:val="none" w:sz="0" w:space="0" w:color="auto"/>
      </w:divBdr>
    </w:div>
    <w:div w:id="336003742">
      <w:bodyDiv w:val="1"/>
      <w:marLeft w:val="0"/>
      <w:marRight w:val="0"/>
      <w:marTop w:val="0"/>
      <w:marBottom w:val="0"/>
      <w:divBdr>
        <w:top w:val="none" w:sz="0" w:space="0" w:color="auto"/>
        <w:left w:val="none" w:sz="0" w:space="0" w:color="auto"/>
        <w:bottom w:val="none" w:sz="0" w:space="0" w:color="auto"/>
        <w:right w:val="none" w:sz="0" w:space="0" w:color="auto"/>
      </w:divBdr>
    </w:div>
    <w:div w:id="419566135">
      <w:bodyDiv w:val="1"/>
      <w:marLeft w:val="0"/>
      <w:marRight w:val="0"/>
      <w:marTop w:val="0"/>
      <w:marBottom w:val="0"/>
      <w:divBdr>
        <w:top w:val="none" w:sz="0" w:space="0" w:color="auto"/>
        <w:left w:val="none" w:sz="0" w:space="0" w:color="auto"/>
        <w:bottom w:val="none" w:sz="0" w:space="0" w:color="auto"/>
        <w:right w:val="none" w:sz="0" w:space="0" w:color="auto"/>
      </w:divBdr>
    </w:div>
    <w:div w:id="441925556">
      <w:bodyDiv w:val="1"/>
      <w:marLeft w:val="0"/>
      <w:marRight w:val="0"/>
      <w:marTop w:val="0"/>
      <w:marBottom w:val="0"/>
      <w:divBdr>
        <w:top w:val="none" w:sz="0" w:space="0" w:color="auto"/>
        <w:left w:val="none" w:sz="0" w:space="0" w:color="auto"/>
        <w:bottom w:val="none" w:sz="0" w:space="0" w:color="auto"/>
        <w:right w:val="none" w:sz="0" w:space="0" w:color="auto"/>
      </w:divBdr>
    </w:div>
    <w:div w:id="483545838">
      <w:bodyDiv w:val="1"/>
      <w:marLeft w:val="0"/>
      <w:marRight w:val="0"/>
      <w:marTop w:val="0"/>
      <w:marBottom w:val="0"/>
      <w:divBdr>
        <w:top w:val="none" w:sz="0" w:space="0" w:color="auto"/>
        <w:left w:val="none" w:sz="0" w:space="0" w:color="auto"/>
        <w:bottom w:val="none" w:sz="0" w:space="0" w:color="auto"/>
        <w:right w:val="none" w:sz="0" w:space="0" w:color="auto"/>
      </w:divBdr>
    </w:div>
    <w:div w:id="490222240">
      <w:bodyDiv w:val="1"/>
      <w:marLeft w:val="0"/>
      <w:marRight w:val="0"/>
      <w:marTop w:val="0"/>
      <w:marBottom w:val="0"/>
      <w:divBdr>
        <w:top w:val="none" w:sz="0" w:space="0" w:color="auto"/>
        <w:left w:val="none" w:sz="0" w:space="0" w:color="auto"/>
        <w:bottom w:val="none" w:sz="0" w:space="0" w:color="auto"/>
        <w:right w:val="none" w:sz="0" w:space="0" w:color="auto"/>
      </w:divBdr>
      <w:divsChild>
        <w:div w:id="1050417048">
          <w:marLeft w:val="0"/>
          <w:marRight w:val="0"/>
          <w:marTop w:val="0"/>
          <w:marBottom w:val="0"/>
          <w:divBdr>
            <w:top w:val="none" w:sz="0" w:space="0" w:color="auto"/>
            <w:left w:val="none" w:sz="0" w:space="0" w:color="auto"/>
            <w:bottom w:val="none" w:sz="0" w:space="0" w:color="auto"/>
            <w:right w:val="none" w:sz="0" w:space="0" w:color="auto"/>
          </w:divBdr>
          <w:divsChild>
            <w:div w:id="2034723502">
              <w:marLeft w:val="0"/>
              <w:marRight w:val="0"/>
              <w:marTop w:val="0"/>
              <w:marBottom w:val="0"/>
              <w:divBdr>
                <w:top w:val="none" w:sz="0" w:space="0" w:color="auto"/>
                <w:left w:val="none" w:sz="0" w:space="0" w:color="auto"/>
                <w:bottom w:val="none" w:sz="0" w:space="0" w:color="auto"/>
                <w:right w:val="none" w:sz="0" w:space="0" w:color="auto"/>
              </w:divBdr>
              <w:divsChild>
                <w:div w:id="195802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80440">
          <w:marLeft w:val="0"/>
          <w:marRight w:val="0"/>
          <w:marTop w:val="0"/>
          <w:marBottom w:val="0"/>
          <w:divBdr>
            <w:top w:val="none" w:sz="0" w:space="0" w:color="auto"/>
            <w:left w:val="none" w:sz="0" w:space="0" w:color="auto"/>
            <w:bottom w:val="none" w:sz="0" w:space="0" w:color="auto"/>
            <w:right w:val="none" w:sz="0" w:space="0" w:color="auto"/>
          </w:divBdr>
          <w:divsChild>
            <w:div w:id="1303149000">
              <w:marLeft w:val="0"/>
              <w:marRight w:val="0"/>
              <w:marTop w:val="0"/>
              <w:marBottom w:val="0"/>
              <w:divBdr>
                <w:top w:val="none" w:sz="0" w:space="0" w:color="auto"/>
                <w:left w:val="none" w:sz="0" w:space="0" w:color="auto"/>
                <w:bottom w:val="none" w:sz="0" w:space="0" w:color="auto"/>
                <w:right w:val="none" w:sz="0" w:space="0" w:color="auto"/>
              </w:divBdr>
              <w:divsChild>
                <w:div w:id="400834189">
                  <w:marLeft w:val="0"/>
                  <w:marRight w:val="0"/>
                  <w:marTop w:val="0"/>
                  <w:marBottom w:val="0"/>
                  <w:divBdr>
                    <w:top w:val="none" w:sz="0" w:space="0" w:color="auto"/>
                    <w:left w:val="none" w:sz="0" w:space="0" w:color="auto"/>
                    <w:bottom w:val="none" w:sz="0" w:space="0" w:color="auto"/>
                    <w:right w:val="none" w:sz="0" w:space="0" w:color="auto"/>
                  </w:divBdr>
                  <w:divsChild>
                    <w:div w:id="1178084755">
                      <w:marLeft w:val="0"/>
                      <w:marRight w:val="0"/>
                      <w:marTop w:val="0"/>
                      <w:marBottom w:val="0"/>
                      <w:divBdr>
                        <w:top w:val="none" w:sz="0" w:space="0" w:color="auto"/>
                        <w:left w:val="none" w:sz="0" w:space="0" w:color="auto"/>
                        <w:bottom w:val="none" w:sz="0" w:space="0" w:color="auto"/>
                        <w:right w:val="none" w:sz="0" w:space="0" w:color="auto"/>
                      </w:divBdr>
                      <w:divsChild>
                        <w:div w:id="1177036671">
                          <w:marLeft w:val="0"/>
                          <w:marRight w:val="0"/>
                          <w:marTop w:val="0"/>
                          <w:marBottom w:val="0"/>
                          <w:divBdr>
                            <w:top w:val="none" w:sz="0" w:space="0" w:color="auto"/>
                            <w:left w:val="none" w:sz="0" w:space="0" w:color="auto"/>
                            <w:bottom w:val="none" w:sz="0" w:space="0" w:color="auto"/>
                            <w:right w:val="none" w:sz="0" w:space="0" w:color="auto"/>
                          </w:divBdr>
                          <w:divsChild>
                            <w:div w:id="1678924521">
                              <w:marLeft w:val="0"/>
                              <w:marRight w:val="0"/>
                              <w:marTop w:val="0"/>
                              <w:marBottom w:val="0"/>
                              <w:divBdr>
                                <w:top w:val="none" w:sz="0" w:space="0" w:color="auto"/>
                                <w:left w:val="none" w:sz="0" w:space="0" w:color="auto"/>
                                <w:bottom w:val="none" w:sz="0" w:space="0" w:color="auto"/>
                                <w:right w:val="none" w:sz="0" w:space="0" w:color="auto"/>
                              </w:divBdr>
                              <w:divsChild>
                                <w:div w:id="1337464970">
                                  <w:marLeft w:val="0"/>
                                  <w:marRight w:val="0"/>
                                  <w:marTop w:val="0"/>
                                  <w:marBottom w:val="0"/>
                                  <w:divBdr>
                                    <w:top w:val="none" w:sz="0" w:space="0" w:color="auto"/>
                                    <w:left w:val="none" w:sz="0" w:space="0" w:color="auto"/>
                                    <w:bottom w:val="none" w:sz="0" w:space="0" w:color="auto"/>
                                    <w:right w:val="none" w:sz="0" w:space="0" w:color="auto"/>
                                  </w:divBdr>
                                  <w:divsChild>
                                    <w:div w:id="57621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48947">
          <w:marLeft w:val="0"/>
          <w:marRight w:val="0"/>
          <w:marTop w:val="0"/>
          <w:marBottom w:val="0"/>
          <w:divBdr>
            <w:top w:val="none" w:sz="0" w:space="0" w:color="auto"/>
            <w:left w:val="none" w:sz="0" w:space="0" w:color="auto"/>
            <w:bottom w:val="none" w:sz="0" w:space="0" w:color="auto"/>
            <w:right w:val="none" w:sz="0" w:space="0" w:color="auto"/>
          </w:divBdr>
          <w:divsChild>
            <w:div w:id="684670676">
              <w:marLeft w:val="0"/>
              <w:marRight w:val="0"/>
              <w:marTop w:val="0"/>
              <w:marBottom w:val="0"/>
              <w:divBdr>
                <w:top w:val="none" w:sz="0" w:space="0" w:color="auto"/>
                <w:left w:val="none" w:sz="0" w:space="0" w:color="auto"/>
                <w:bottom w:val="none" w:sz="0" w:space="0" w:color="auto"/>
                <w:right w:val="none" w:sz="0" w:space="0" w:color="auto"/>
              </w:divBdr>
              <w:divsChild>
                <w:div w:id="1309019918">
                  <w:marLeft w:val="0"/>
                  <w:marRight w:val="0"/>
                  <w:marTop w:val="0"/>
                  <w:marBottom w:val="0"/>
                  <w:divBdr>
                    <w:top w:val="none" w:sz="0" w:space="0" w:color="auto"/>
                    <w:left w:val="none" w:sz="0" w:space="0" w:color="auto"/>
                    <w:bottom w:val="none" w:sz="0" w:space="0" w:color="auto"/>
                    <w:right w:val="none" w:sz="0" w:space="0" w:color="auto"/>
                  </w:divBdr>
                  <w:divsChild>
                    <w:div w:id="101727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08010">
          <w:marLeft w:val="0"/>
          <w:marRight w:val="0"/>
          <w:marTop w:val="0"/>
          <w:marBottom w:val="0"/>
          <w:divBdr>
            <w:top w:val="none" w:sz="0" w:space="0" w:color="auto"/>
            <w:left w:val="none" w:sz="0" w:space="0" w:color="auto"/>
            <w:bottom w:val="none" w:sz="0" w:space="0" w:color="auto"/>
            <w:right w:val="none" w:sz="0" w:space="0" w:color="auto"/>
          </w:divBdr>
          <w:divsChild>
            <w:div w:id="357508391">
              <w:marLeft w:val="0"/>
              <w:marRight w:val="0"/>
              <w:marTop w:val="0"/>
              <w:marBottom w:val="0"/>
              <w:divBdr>
                <w:top w:val="none" w:sz="0" w:space="0" w:color="auto"/>
                <w:left w:val="none" w:sz="0" w:space="0" w:color="auto"/>
                <w:bottom w:val="none" w:sz="0" w:space="0" w:color="auto"/>
                <w:right w:val="none" w:sz="0" w:space="0" w:color="auto"/>
              </w:divBdr>
              <w:divsChild>
                <w:div w:id="965896120">
                  <w:marLeft w:val="0"/>
                  <w:marRight w:val="0"/>
                  <w:marTop w:val="0"/>
                  <w:marBottom w:val="0"/>
                  <w:divBdr>
                    <w:top w:val="none" w:sz="0" w:space="0" w:color="auto"/>
                    <w:left w:val="none" w:sz="0" w:space="0" w:color="auto"/>
                    <w:bottom w:val="none" w:sz="0" w:space="0" w:color="auto"/>
                    <w:right w:val="none" w:sz="0" w:space="0" w:color="auto"/>
                  </w:divBdr>
                  <w:divsChild>
                    <w:div w:id="677579158">
                      <w:marLeft w:val="0"/>
                      <w:marRight w:val="0"/>
                      <w:marTop w:val="0"/>
                      <w:marBottom w:val="0"/>
                      <w:divBdr>
                        <w:top w:val="none" w:sz="0" w:space="0" w:color="auto"/>
                        <w:left w:val="none" w:sz="0" w:space="0" w:color="auto"/>
                        <w:bottom w:val="none" w:sz="0" w:space="0" w:color="auto"/>
                        <w:right w:val="none" w:sz="0" w:space="0" w:color="auto"/>
                      </w:divBdr>
                      <w:divsChild>
                        <w:div w:id="1968076109">
                          <w:marLeft w:val="0"/>
                          <w:marRight w:val="0"/>
                          <w:marTop w:val="0"/>
                          <w:marBottom w:val="0"/>
                          <w:divBdr>
                            <w:top w:val="none" w:sz="0" w:space="0" w:color="auto"/>
                            <w:left w:val="none" w:sz="0" w:space="0" w:color="auto"/>
                            <w:bottom w:val="none" w:sz="0" w:space="0" w:color="auto"/>
                            <w:right w:val="none" w:sz="0" w:space="0" w:color="auto"/>
                          </w:divBdr>
                          <w:divsChild>
                            <w:div w:id="1095662897">
                              <w:marLeft w:val="0"/>
                              <w:marRight w:val="0"/>
                              <w:marTop w:val="0"/>
                              <w:marBottom w:val="0"/>
                              <w:divBdr>
                                <w:top w:val="none" w:sz="0" w:space="0" w:color="auto"/>
                                <w:left w:val="none" w:sz="0" w:space="0" w:color="auto"/>
                                <w:bottom w:val="none" w:sz="0" w:space="0" w:color="auto"/>
                                <w:right w:val="none" w:sz="0" w:space="0" w:color="auto"/>
                              </w:divBdr>
                              <w:divsChild>
                                <w:div w:id="119511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4365749">
          <w:marLeft w:val="0"/>
          <w:marRight w:val="0"/>
          <w:marTop w:val="0"/>
          <w:marBottom w:val="0"/>
          <w:divBdr>
            <w:top w:val="none" w:sz="0" w:space="0" w:color="auto"/>
            <w:left w:val="none" w:sz="0" w:space="0" w:color="auto"/>
            <w:bottom w:val="none" w:sz="0" w:space="0" w:color="auto"/>
            <w:right w:val="none" w:sz="0" w:space="0" w:color="auto"/>
          </w:divBdr>
          <w:divsChild>
            <w:div w:id="1326129469">
              <w:marLeft w:val="0"/>
              <w:marRight w:val="0"/>
              <w:marTop w:val="0"/>
              <w:marBottom w:val="0"/>
              <w:divBdr>
                <w:top w:val="none" w:sz="0" w:space="0" w:color="auto"/>
                <w:left w:val="none" w:sz="0" w:space="0" w:color="auto"/>
                <w:bottom w:val="none" w:sz="0" w:space="0" w:color="auto"/>
                <w:right w:val="none" w:sz="0" w:space="0" w:color="auto"/>
              </w:divBdr>
              <w:divsChild>
                <w:div w:id="620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48966">
      <w:bodyDiv w:val="1"/>
      <w:marLeft w:val="0"/>
      <w:marRight w:val="0"/>
      <w:marTop w:val="0"/>
      <w:marBottom w:val="0"/>
      <w:divBdr>
        <w:top w:val="none" w:sz="0" w:space="0" w:color="auto"/>
        <w:left w:val="none" w:sz="0" w:space="0" w:color="auto"/>
        <w:bottom w:val="none" w:sz="0" w:space="0" w:color="auto"/>
        <w:right w:val="none" w:sz="0" w:space="0" w:color="auto"/>
      </w:divBdr>
    </w:div>
    <w:div w:id="524944878">
      <w:bodyDiv w:val="1"/>
      <w:marLeft w:val="0"/>
      <w:marRight w:val="0"/>
      <w:marTop w:val="0"/>
      <w:marBottom w:val="0"/>
      <w:divBdr>
        <w:top w:val="none" w:sz="0" w:space="0" w:color="auto"/>
        <w:left w:val="none" w:sz="0" w:space="0" w:color="auto"/>
        <w:bottom w:val="none" w:sz="0" w:space="0" w:color="auto"/>
        <w:right w:val="none" w:sz="0" w:space="0" w:color="auto"/>
      </w:divBdr>
    </w:div>
    <w:div w:id="598490948">
      <w:bodyDiv w:val="1"/>
      <w:marLeft w:val="0"/>
      <w:marRight w:val="0"/>
      <w:marTop w:val="0"/>
      <w:marBottom w:val="0"/>
      <w:divBdr>
        <w:top w:val="none" w:sz="0" w:space="0" w:color="auto"/>
        <w:left w:val="none" w:sz="0" w:space="0" w:color="auto"/>
        <w:bottom w:val="none" w:sz="0" w:space="0" w:color="auto"/>
        <w:right w:val="none" w:sz="0" w:space="0" w:color="auto"/>
      </w:divBdr>
    </w:div>
    <w:div w:id="605888694">
      <w:bodyDiv w:val="1"/>
      <w:marLeft w:val="0"/>
      <w:marRight w:val="0"/>
      <w:marTop w:val="0"/>
      <w:marBottom w:val="0"/>
      <w:divBdr>
        <w:top w:val="none" w:sz="0" w:space="0" w:color="auto"/>
        <w:left w:val="none" w:sz="0" w:space="0" w:color="auto"/>
        <w:bottom w:val="none" w:sz="0" w:space="0" w:color="auto"/>
        <w:right w:val="none" w:sz="0" w:space="0" w:color="auto"/>
      </w:divBdr>
    </w:div>
    <w:div w:id="647174570">
      <w:bodyDiv w:val="1"/>
      <w:marLeft w:val="0"/>
      <w:marRight w:val="0"/>
      <w:marTop w:val="0"/>
      <w:marBottom w:val="0"/>
      <w:divBdr>
        <w:top w:val="none" w:sz="0" w:space="0" w:color="auto"/>
        <w:left w:val="none" w:sz="0" w:space="0" w:color="auto"/>
        <w:bottom w:val="none" w:sz="0" w:space="0" w:color="auto"/>
        <w:right w:val="none" w:sz="0" w:space="0" w:color="auto"/>
      </w:divBdr>
    </w:div>
    <w:div w:id="726337305">
      <w:bodyDiv w:val="1"/>
      <w:marLeft w:val="0"/>
      <w:marRight w:val="0"/>
      <w:marTop w:val="0"/>
      <w:marBottom w:val="0"/>
      <w:divBdr>
        <w:top w:val="none" w:sz="0" w:space="0" w:color="auto"/>
        <w:left w:val="none" w:sz="0" w:space="0" w:color="auto"/>
        <w:bottom w:val="none" w:sz="0" w:space="0" w:color="auto"/>
        <w:right w:val="none" w:sz="0" w:space="0" w:color="auto"/>
      </w:divBdr>
    </w:div>
    <w:div w:id="759715592">
      <w:bodyDiv w:val="1"/>
      <w:marLeft w:val="0"/>
      <w:marRight w:val="0"/>
      <w:marTop w:val="0"/>
      <w:marBottom w:val="0"/>
      <w:divBdr>
        <w:top w:val="none" w:sz="0" w:space="0" w:color="auto"/>
        <w:left w:val="none" w:sz="0" w:space="0" w:color="auto"/>
        <w:bottom w:val="none" w:sz="0" w:space="0" w:color="auto"/>
        <w:right w:val="none" w:sz="0" w:space="0" w:color="auto"/>
      </w:divBdr>
    </w:div>
    <w:div w:id="775755394">
      <w:bodyDiv w:val="1"/>
      <w:marLeft w:val="0"/>
      <w:marRight w:val="0"/>
      <w:marTop w:val="0"/>
      <w:marBottom w:val="0"/>
      <w:divBdr>
        <w:top w:val="none" w:sz="0" w:space="0" w:color="auto"/>
        <w:left w:val="none" w:sz="0" w:space="0" w:color="auto"/>
        <w:bottom w:val="none" w:sz="0" w:space="0" w:color="auto"/>
        <w:right w:val="none" w:sz="0" w:space="0" w:color="auto"/>
      </w:divBdr>
      <w:divsChild>
        <w:div w:id="256523139">
          <w:marLeft w:val="0"/>
          <w:marRight w:val="0"/>
          <w:marTop w:val="0"/>
          <w:marBottom w:val="0"/>
          <w:divBdr>
            <w:top w:val="none" w:sz="0" w:space="0" w:color="auto"/>
            <w:left w:val="none" w:sz="0" w:space="0" w:color="auto"/>
            <w:bottom w:val="none" w:sz="0" w:space="0" w:color="auto"/>
            <w:right w:val="none" w:sz="0" w:space="0" w:color="auto"/>
          </w:divBdr>
          <w:divsChild>
            <w:div w:id="1435125458">
              <w:marLeft w:val="0"/>
              <w:marRight w:val="0"/>
              <w:marTop w:val="0"/>
              <w:marBottom w:val="0"/>
              <w:divBdr>
                <w:top w:val="none" w:sz="0" w:space="0" w:color="auto"/>
                <w:left w:val="none" w:sz="0" w:space="0" w:color="auto"/>
                <w:bottom w:val="none" w:sz="0" w:space="0" w:color="auto"/>
                <w:right w:val="none" w:sz="0" w:space="0" w:color="auto"/>
              </w:divBdr>
              <w:divsChild>
                <w:div w:id="184019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40634">
      <w:bodyDiv w:val="1"/>
      <w:marLeft w:val="0"/>
      <w:marRight w:val="0"/>
      <w:marTop w:val="0"/>
      <w:marBottom w:val="0"/>
      <w:divBdr>
        <w:top w:val="none" w:sz="0" w:space="0" w:color="auto"/>
        <w:left w:val="none" w:sz="0" w:space="0" w:color="auto"/>
        <w:bottom w:val="none" w:sz="0" w:space="0" w:color="auto"/>
        <w:right w:val="none" w:sz="0" w:space="0" w:color="auto"/>
      </w:divBdr>
      <w:divsChild>
        <w:div w:id="1007249498">
          <w:marLeft w:val="0"/>
          <w:marRight w:val="0"/>
          <w:marTop w:val="0"/>
          <w:marBottom w:val="0"/>
          <w:divBdr>
            <w:top w:val="none" w:sz="0" w:space="0" w:color="auto"/>
            <w:left w:val="none" w:sz="0" w:space="0" w:color="auto"/>
            <w:bottom w:val="none" w:sz="0" w:space="0" w:color="auto"/>
            <w:right w:val="none" w:sz="0" w:space="0" w:color="auto"/>
          </w:divBdr>
        </w:div>
        <w:div w:id="2072801169">
          <w:marLeft w:val="0"/>
          <w:marRight w:val="0"/>
          <w:marTop w:val="0"/>
          <w:marBottom w:val="0"/>
          <w:divBdr>
            <w:top w:val="none" w:sz="0" w:space="0" w:color="auto"/>
            <w:left w:val="none" w:sz="0" w:space="0" w:color="auto"/>
            <w:bottom w:val="none" w:sz="0" w:space="0" w:color="auto"/>
            <w:right w:val="none" w:sz="0" w:space="0" w:color="auto"/>
          </w:divBdr>
        </w:div>
      </w:divsChild>
    </w:div>
    <w:div w:id="826363463">
      <w:bodyDiv w:val="1"/>
      <w:marLeft w:val="0"/>
      <w:marRight w:val="0"/>
      <w:marTop w:val="0"/>
      <w:marBottom w:val="0"/>
      <w:divBdr>
        <w:top w:val="none" w:sz="0" w:space="0" w:color="auto"/>
        <w:left w:val="none" w:sz="0" w:space="0" w:color="auto"/>
        <w:bottom w:val="none" w:sz="0" w:space="0" w:color="auto"/>
        <w:right w:val="none" w:sz="0" w:space="0" w:color="auto"/>
      </w:divBdr>
    </w:div>
    <w:div w:id="837380680">
      <w:bodyDiv w:val="1"/>
      <w:marLeft w:val="0"/>
      <w:marRight w:val="0"/>
      <w:marTop w:val="0"/>
      <w:marBottom w:val="0"/>
      <w:divBdr>
        <w:top w:val="none" w:sz="0" w:space="0" w:color="auto"/>
        <w:left w:val="none" w:sz="0" w:space="0" w:color="auto"/>
        <w:bottom w:val="none" w:sz="0" w:space="0" w:color="auto"/>
        <w:right w:val="none" w:sz="0" w:space="0" w:color="auto"/>
      </w:divBdr>
    </w:div>
    <w:div w:id="845173097">
      <w:bodyDiv w:val="1"/>
      <w:marLeft w:val="0"/>
      <w:marRight w:val="0"/>
      <w:marTop w:val="0"/>
      <w:marBottom w:val="0"/>
      <w:divBdr>
        <w:top w:val="none" w:sz="0" w:space="0" w:color="auto"/>
        <w:left w:val="none" w:sz="0" w:space="0" w:color="auto"/>
        <w:bottom w:val="none" w:sz="0" w:space="0" w:color="auto"/>
        <w:right w:val="none" w:sz="0" w:space="0" w:color="auto"/>
      </w:divBdr>
    </w:div>
    <w:div w:id="845706727">
      <w:bodyDiv w:val="1"/>
      <w:marLeft w:val="0"/>
      <w:marRight w:val="0"/>
      <w:marTop w:val="0"/>
      <w:marBottom w:val="0"/>
      <w:divBdr>
        <w:top w:val="none" w:sz="0" w:space="0" w:color="auto"/>
        <w:left w:val="none" w:sz="0" w:space="0" w:color="auto"/>
        <w:bottom w:val="none" w:sz="0" w:space="0" w:color="auto"/>
        <w:right w:val="none" w:sz="0" w:space="0" w:color="auto"/>
      </w:divBdr>
    </w:div>
    <w:div w:id="887301081">
      <w:bodyDiv w:val="1"/>
      <w:marLeft w:val="0"/>
      <w:marRight w:val="0"/>
      <w:marTop w:val="0"/>
      <w:marBottom w:val="0"/>
      <w:divBdr>
        <w:top w:val="none" w:sz="0" w:space="0" w:color="auto"/>
        <w:left w:val="none" w:sz="0" w:space="0" w:color="auto"/>
        <w:bottom w:val="none" w:sz="0" w:space="0" w:color="auto"/>
        <w:right w:val="none" w:sz="0" w:space="0" w:color="auto"/>
      </w:divBdr>
    </w:div>
    <w:div w:id="964391512">
      <w:bodyDiv w:val="1"/>
      <w:marLeft w:val="0"/>
      <w:marRight w:val="0"/>
      <w:marTop w:val="0"/>
      <w:marBottom w:val="0"/>
      <w:divBdr>
        <w:top w:val="none" w:sz="0" w:space="0" w:color="auto"/>
        <w:left w:val="none" w:sz="0" w:space="0" w:color="auto"/>
        <w:bottom w:val="none" w:sz="0" w:space="0" w:color="auto"/>
        <w:right w:val="none" w:sz="0" w:space="0" w:color="auto"/>
      </w:divBdr>
    </w:div>
    <w:div w:id="965625116">
      <w:bodyDiv w:val="1"/>
      <w:marLeft w:val="0"/>
      <w:marRight w:val="0"/>
      <w:marTop w:val="0"/>
      <w:marBottom w:val="0"/>
      <w:divBdr>
        <w:top w:val="none" w:sz="0" w:space="0" w:color="auto"/>
        <w:left w:val="none" w:sz="0" w:space="0" w:color="auto"/>
        <w:bottom w:val="none" w:sz="0" w:space="0" w:color="auto"/>
        <w:right w:val="none" w:sz="0" w:space="0" w:color="auto"/>
      </w:divBdr>
    </w:div>
    <w:div w:id="1004012529">
      <w:bodyDiv w:val="1"/>
      <w:marLeft w:val="0"/>
      <w:marRight w:val="0"/>
      <w:marTop w:val="0"/>
      <w:marBottom w:val="0"/>
      <w:divBdr>
        <w:top w:val="none" w:sz="0" w:space="0" w:color="auto"/>
        <w:left w:val="none" w:sz="0" w:space="0" w:color="auto"/>
        <w:bottom w:val="none" w:sz="0" w:space="0" w:color="auto"/>
        <w:right w:val="none" w:sz="0" w:space="0" w:color="auto"/>
      </w:divBdr>
    </w:div>
    <w:div w:id="1072124837">
      <w:bodyDiv w:val="1"/>
      <w:marLeft w:val="0"/>
      <w:marRight w:val="0"/>
      <w:marTop w:val="0"/>
      <w:marBottom w:val="0"/>
      <w:divBdr>
        <w:top w:val="none" w:sz="0" w:space="0" w:color="auto"/>
        <w:left w:val="none" w:sz="0" w:space="0" w:color="auto"/>
        <w:bottom w:val="none" w:sz="0" w:space="0" w:color="auto"/>
        <w:right w:val="none" w:sz="0" w:space="0" w:color="auto"/>
      </w:divBdr>
    </w:div>
    <w:div w:id="1098133399">
      <w:bodyDiv w:val="1"/>
      <w:marLeft w:val="0"/>
      <w:marRight w:val="0"/>
      <w:marTop w:val="0"/>
      <w:marBottom w:val="0"/>
      <w:divBdr>
        <w:top w:val="none" w:sz="0" w:space="0" w:color="auto"/>
        <w:left w:val="none" w:sz="0" w:space="0" w:color="auto"/>
        <w:bottom w:val="none" w:sz="0" w:space="0" w:color="auto"/>
        <w:right w:val="none" w:sz="0" w:space="0" w:color="auto"/>
      </w:divBdr>
    </w:div>
    <w:div w:id="1111775826">
      <w:bodyDiv w:val="1"/>
      <w:marLeft w:val="0"/>
      <w:marRight w:val="0"/>
      <w:marTop w:val="0"/>
      <w:marBottom w:val="0"/>
      <w:divBdr>
        <w:top w:val="none" w:sz="0" w:space="0" w:color="auto"/>
        <w:left w:val="none" w:sz="0" w:space="0" w:color="auto"/>
        <w:bottom w:val="none" w:sz="0" w:space="0" w:color="auto"/>
        <w:right w:val="none" w:sz="0" w:space="0" w:color="auto"/>
      </w:divBdr>
    </w:div>
    <w:div w:id="1122382706">
      <w:bodyDiv w:val="1"/>
      <w:marLeft w:val="0"/>
      <w:marRight w:val="0"/>
      <w:marTop w:val="0"/>
      <w:marBottom w:val="0"/>
      <w:divBdr>
        <w:top w:val="none" w:sz="0" w:space="0" w:color="auto"/>
        <w:left w:val="none" w:sz="0" w:space="0" w:color="auto"/>
        <w:bottom w:val="none" w:sz="0" w:space="0" w:color="auto"/>
        <w:right w:val="none" w:sz="0" w:space="0" w:color="auto"/>
      </w:divBdr>
    </w:div>
    <w:div w:id="1147669750">
      <w:bodyDiv w:val="1"/>
      <w:marLeft w:val="0"/>
      <w:marRight w:val="0"/>
      <w:marTop w:val="0"/>
      <w:marBottom w:val="0"/>
      <w:divBdr>
        <w:top w:val="none" w:sz="0" w:space="0" w:color="auto"/>
        <w:left w:val="none" w:sz="0" w:space="0" w:color="auto"/>
        <w:bottom w:val="none" w:sz="0" w:space="0" w:color="auto"/>
        <w:right w:val="none" w:sz="0" w:space="0" w:color="auto"/>
      </w:divBdr>
    </w:div>
    <w:div w:id="1165246869">
      <w:bodyDiv w:val="1"/>
      <w:marLeft w:val="0"/>
      <w:marRight w:val="0"/>
      <w:marTop w:val="0"/>
      <w:marBottom w:val="0"/>
      <w:divBdr>
        <w:top w:val="none" w:sz="0" w:space="0" w:color="auto"/>
        <w:left w:val="none" w:sz="0" w:space="0" w:color="auto"/>
        <w:bottom w:val="none" w:sz="0" w:space="0" w:color="auto"/>
        <w:right w:val="none" w:sz="0" w:space="0" w:color="auto"/>
      </w:divBdr>
    </w:div>
    <w:div w:id="1191452551">
      <w:bodyDiv w:val="1"/>
      <w:marLeft w:val="0"/>
      <w:marRight w:val="0"/>
      <w:marTop w:val="0"/>
      <w:marBottom w:val="0"/>
      <w:divBdr>
        <w:top w:val="none" w:sz="0" w:space="0" w:color="auto"/>
        <w:left w:val="none" w:sz="0" w:space="0" w:color="auto"/>
        <w:bottom w:val="none" w:sz="0" w:space="0" w:color="auto"/>
        <w:right w:val="none" w:sz="0" w:space="0" w:color="auto"/>
      </w:divBdr>
    </w:div>
    <w:div w:id="1197505732">
      <w:bodyDiv w:val="1"/>
      <w:marLeft w:val="0"/>
      <w:marRight w:val="0"/>
      <w:marTop w:val="0"/>
      <w:marBottom w:val="0"/>
      <w:divBdr>
        <w:top w:val="none" w:sz="0" w:space="0" w:color="auto"/>
        <w:left w:val="none" w:sz="0" w:space="0" w:color="auto"/>
        <w:bottom w:val="none" w:sz="0" w:space="0" w:color="auto"/>
        <w:right w:val="none" w:sz="0" w:space="0" w:color="auto"/>
      </w:divBdr>
    </w:div>
    <w:div w:id="1214777651">
      <w:bodyDiv w:val="1"/>
      <w:marLeft w:val="0"/>
      <w:marRight w:val="0"/>
      <w:marTop w:val="0"/>
      <w:marBottom w:val="0"/>
      <w:divBdr>
        <w:top w:val="none" w:sz="0" w:space="0" w:color="auto"/>
        <w:left w:val="none" w:sz="0" w:space="0" w:color="auto"/>
        <w:bottom w:val="none" w:sz="0" w:space="0" w:color="auto"/>
        <w:right w:val="none" w:sz="0" w:space="0" w:color="auto"/>
      </w:divBdr>
    </w:div>
    <w:div w:id="1235093238">
      <w:bodyDiv w:val="1"/>
      <w:marLeft w:val="0"/>
      <w:marRight w:val="0"/>
      <w:marTop w:val="0"/>
      <w:marBottom w:val="0"/>
      <w:divBdr>
        <w:top w:val="none" w:sz="0" w:space="0" w:color="auto"/>
        <w:left w:val="none" w:sz="0" w:space="0" w:color="auto"/>
        <w:bottom w:val="none" w:sz="0" w:space="0" w:color="auto"/>
        <w:right w:val="none" w:sz="0" w:space="0" w:color="auto"/>
      </w:divBdr>
      <w:divsChild>
        <w:div w:id="1697652043">
          <w:marLeft w:val="0"/>
          <w:marRight w:val="0"/>
          <w:marTop w:val="0"/>
          <w:marBottom w:val="0"/>
          <w:divBdr>
            <w:top w:val="none" w:sz="0" w:space="0" w:color="auto"/>
            <w:left w:val="none" w:sz="0" w:space="0" w:color="auto"/>
            <w:bottom w:val="none" w:sz="0" w:space="0" w:color="auto"/>
            <w:right w:val="none" w:sz="0" w:space="0" w:color="auto"/>
          </w:divBdr>
          <w:divsChild>
            <w:div w:id="1021206354">
              <w:marLeft w:val="0"/>
              <w:marRight w:val="0"/>
              <w:marTop w:val="0"/>
              <w:marBottom w:val="0"/>
              <w:divBdr>
                <w:top w:val="none" w:sz="0" w:space="0" w:color="auto"/>
                <w:left w:val="none" w:sz="0" w:space="0" w:color="auto"/>
                <w:bottom w:val="none" w:sz="0" w:space="0" w:color="auto"/>
                <w:right w:val="none" w:sz="0" w:space="0" w:color="auto"/>
              </w:divBdr>
              <w:divsChild>
                <w:div w:id="33923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587106">
      <w:bodyDiv w:val="1"/>
      <w:marLeft w:val="0"/>
      <w:marRight w:val="0"/>
      <w:marTop w:val="0"/>
      <w:marBottom w:val="0"/>
      <w:divBdr>
        <w:top w:val="none" w:sz="0" w:space="0" w:color="auto"/>
        <w:left w:val="none" w:sz="0" w:space="0" w:color="auto"/>
        <w:bottom w:val="none" w:sz="0" w:space="0" w:color="auto"/>
        <w:right w:val="none" w:sz="0" w:space="0" w:color="auto"/>
      </w:divBdr>
    </w:div>
    <w:div w:id="1309018012">
      <w:bodyDiv w:val="1"/>
      <w:marLeft w:val="0"/>
      <w:marRight w:val="0"/>
      <w:marTop w:val="0"/>
      <w:marBottom w:val="0"/>
      <w:divBdr>
        <w:top w:val="none" w:sz="0" w:space="0" w:color="auto"/>
        <w:left w:val="none" w:sz="0" w:space="0" w:color="auto"/>
        <w:bottom w:val="none" w:sz="0" w:space="0" w:color="auto"/>
        <w:right w:val="none" w:sz="0" w:space="0" w:color="auto"/>
      </w:divBdr>
    </w:div>
    <w:div w:id="1348865945">
      <w:bodyDiv w:val="1"/>
      <w:marLeft w:val="0"/>
      <w:marRight w:val="0"/>
      <w:marTop w:val="0"/>
      <w:marBottom w:val="0"/>
      <w:divBdr>
        <w:top w:val="none" w:sz="0" w:space="0" w:color="auto"/>
        <w:left w:val="none" w:sz="0" w:space="0" w:color="auto"/>
        <w:bottom w:val="none" w:sz="0" w:space="0" w:color="auto"/>
        <w:right w:val="none" w:sz="0" w:space="0" w:color="auto"/>
      </w:divBdr>
    </w:div>
    <w:div w:id="1350788719">
      <w:bodyDiv w:val="1"/>
      <w:marLeft w:val="0"/>
      <w:marRight w:val="0"/>
      <w:marTop w:val="0"/>
      <w:marBottom w:val="0"/>
      <w:divBdr>
        <w:top w:val="none" w:sz="0" w:space="0" w:color="auto"/>
        <w:left w:val="none" w:sz="0" w:space="0" w:color="auto"/>
        <w:bottom w:val="none" w:sz="0" w:space="0" w:color="auto"/>
        <w:right w:val="none" w:sz="0" w:space="0" w:color="auto"/>
      </w:divBdr>
    </w:div>
    <w:div w:id="1418209591">
      <w:bodyDiv w:val="1"/>
      <w:marLeft w:val="0"/>
      <w:marRight w:val="0"/>
      <w:marTop w:val="0"/>
      <w:marBottom w:val="0"/>
      <w:divBdr>
        <w:top w:val="none" w:sz="0" w:space="0" w:color="auto"/>
        <w:left w:val="none" w:sz="0" w:space="0" w:color="auto"/>
        <w:bottom w:val="none" w:sz="0" w:space="0" w:color="auto"/>
        <w:right w:val="none" w:sz="0" w:space="0" w:color="auto"/>
      </w:divBdr>
    </w:div>
    <w:div w:id="1435327684">
      <w:bodyDiv w:val="1"/>
      <w:marLeft w:val="0"/>
      <w:marRight w:val="0"/>
      <w:marTop w:val="0"/>
      <w:marBottom w:val="0"/>
      <w:divBdr>
        <w:top w:val="none" w:sz="0" w:space="0" w:color="auto"/>
        <w:left w:val="none" w:sz="0" w:space="0" w:color="auto"/>
        <w:bottom w:val="none" w:sz="0" w:space="0" w:color="auto"/>
        <w:right w:val="none" w:sz="0" w:space="0" w:color="auto"/>
      </w:divBdr>
    </w:div>
    <w:div w:id="1442261177">
      <w:bodyDiv w:val="1"/>
      <w:marLeft w:val="0"/>
      <w:marRight w:val="0"/>
      <w:marTop w:val="0"/>
      <w:marBottom w:val="0"/>
      <w:divBdr>
        <w:top w:val="none" w:sz="0" w:space="0" w:color="auto"/>
        <w:left w:val="none" w:sz="0" w:space="0" w:color="auto"/>
        <w:bottom w:val="none" w:sz="0" w:space="0" w:color="auto"/>
        <w:right w:val="none" w:sz="0" w:space="0" w:color="auto"/>
      </w:divBdr>
      <w:divsChild>
        <w:div w:id="647370005">
          <w:marLeft w:val="0"/>
          <w:marRight w:val="0"/>
          <w:marTop w:val="0"/>
          <w:marBottom w:val="0"/>
          <w:divBdr>
            <w:top w:val="none" w:sz="0" w:space="0" w:color="auto"/>
            <w:left w:val="none" w:sz="0" w:space="0" w:color="auto"/>
            <w:bottom w:val="none" w:sz="0" w:space="0" w:color="auto"/>
            <w:right w:val="none" w:sz="0" w:space="0" w:color="auto"/>
          </w:divBdr>
          <w:divsChild>
            <w:div w:id="1177039590">
              <w:marLeft w:val="0"/>
              <w:marRight w:val="0"/>
              <w:marTop w:val="0"/>
              <w:marBottom w:val="0"/>
              <w:divBdr>
                <w:top w:val="none" w:sz="0" w:space="0" w:color="auto"/>
                <w:left w:val="none" w:sz="0" w:space="0" w:color="auto"/>
                <w:bottom w:val="none" w:sz="0" w:space="0" w:color="auto"/>
                <w:right w:val="none" w:sz="0" w:space="0" w:color="auto"/>
              </w:divBdr>
              <w:divsChild>
                <w:div w:id="128419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092653">
      <w:bodyDiv w:val="1"/>
      <w:marLeft w:val="0"/>
      <w:marRight w:val="0"/>
      <w:marTop w:val="0"/>
      <w:marBottom w:val="0"/>
      <w:divBdr>
        <w:top w:val="none" w:sz="0" w:space="0" w:color="auto"/>
        <w:left w:val="none" w:sz="0" w:space="0" w:color="auto"/>
        <w:bottom w:val="none" w:sz="0" w:space="0" w:color="auto"/>
        <w:right w:val="none" w:sz="0" w:space="0" w:color="auto"/>
      </w:divBdr>
    </w:div>
    <w:div w:id="1488980394">
      <w:bodyDiv w:val="1"/>
      <w:marLeft w:val="0"/>
      <w:marRight w:val="0"/>
      <w:marTop w:val="0"/>
      <w:marBottom w:val="0"/>
      <w:divBdr>
        <w:top w:val="none" w:sz="0" w:space="0" w:color="auto"/>
        <w:left w:val="none" w:sz="0" w:space="0" w:color="auto"/>
        <w:bottom w:val="none" w:sz="0" w:space="0" w:color="auto"/>
        <w:right w:val="none" w:sz="0" w:space="0" w:color="auto"/>
      </w:divBdr>
      <w:divsChild>
        <w:div w:id="928151973">
          <w:marLeft w:val="360"/>
          <w:marRight w:val="0"/>
          <w:marTop w:val="200"/>
          <w:marBottom w:val="0"/>
          <w:divBdr>
            <w:top w:val="none" w:sz="0" w:space="0" w:color="auto"/>
            <w:left w:val="none" w:sz="0" w:space="0" w:color="auto"/>
            <w:bottom w:val="none" w:sz="0" w:space="0" w:color="auto"/>
            <w:right w:val="none" w:sz="0" w:space="0" w:color="auto"/>
          </w:divBdr>
        </w:div>
      </w:divsChild>
    </w:div>
    <w:div w:id="1508979051">
      <w:bodyDiv w:val="1"/>
      <w:marLeft w:val="0"/>
      <w:marRight w:val="0"/>
      <w:marTop w:val="0"/>
      <w:marBottom w:val="0"/>
      <w:divBdr>
        <w:top w:val="none" w:sz="0" w:space="0" w:color="auto"/>
        <w:left w:val="none" w:sz="0" w:space="0" w:color="auto"/>
        <w:bottom w:val="none" w:sz="0" w:space="0" w:color="auto"/>
        <w:right w:val="none" w:sz="0" w:space="0" w:color="auto"/>
      </w:divBdr>
    </w:div>
    <w:div w:id="1521696170">
      <w:bodyDiv w:val="1"/>
      <w:marLeft w:val="0"/>
      <w:marRight w:val="0"/>
      <w:marTop w:val="0"/>
      <w:marBottom w:val="0"/>
      <w:divBdr>
        <w:top w:val="none" w:sz="0" w:space="0" w:color="auto"/>
        <w:left w:val="none" w:sz="0" w:space="0" w:color="auto"/>
        <w:bottom w:val="none" w:sz="0" w:space="0" w:color="auto"/>
        <w:right w:val="none" w:sz="0" w:space="0" w:color="auto"/>
      </w:divBdr>
    </w:div>
    <w:div w:id="1524590749">
      <w:bodyDiv w:val="1"/>
      <w:marLeft w:val="0"/>
      <w:marRight w:val="0"/>
      <w:marTop w:val="0"/>
      <w:marBottom w:val="0"/>
      <w:divBdr>
        <w:top w:val="none" w:sz="0" w:space="0" w:color="auto"/>
        <w:left w:val="none" w:sz="0" w:space="0" w:color="auto"/>
        <w:bottom w:val="none" w:sz="0" w:space="0" w:color="auto"/>
        <w:right w:val="none" w:sz="0" w:space="0" w:color="auto"/>
      </w:divBdr>
    </w:div>
    <w:div w:id="1540586832">
      <w:bodyDiv w:val="1"/>
      <w:marLeft w:val="0"/>
      <w:marRight w:val="0"/>
      <w:marTop w:val="0"/>
      <w:marBottom w:val="0"/>
      <w:divBdr>
        <w:top w:val="none" w:sz="0" w:space="0" w:color="auto"/>
        <w:left w:val="none" w:sz="0" w:space="0" w:color="auto"/>
        <w:bottom w:val="none" w:sz="0" w:space="0" w:color="auto"/>
        <w:right w:val="none" w:sz="0" w:space="0" w:color="auto"/>
      </w:divBdr>
    </w:div>
    <w:div w:id="1557739731">
      <w:bodyDiv w:val="1"/>
      <w:marLeft w:val="0"/>
      <w:marRight w:val="0"/>
      <w:marTop w:val="0"/>
      <w:marBottom w:val="0"/>
      <w:divBdr>
        <w:top w:val="none" w:sz="0" w:space="0" w:color="auto"/>
        <w:left w:val="none" w:sz="0" w:space="0" w:color="auto"/>
        <w:bottom w:val="none" w:sz="0" w:space="0" w:color="auto"/>
        <w:right w:val="none" w:sz="0" w:space="0" w:color="auto"/>
      </w:divBdr>
    </w:div>
    <w:div w:id="1569879352">
      <w:bodyDiv w:val="1"/>
      <w:marLeft w:val="0"/>
      <w:marRight w:val="0"/>
      <w:marTop w:val="0"/>
      <w:marBottom w:val="0"/>
      <w:divBdr>
        <w:top w:val="none" w:sz="0" w:space="0" w:color="auto"/>
        <w:left w:val="none" w:sz="0" w:space="0" w:color="auto"/>
        <w:bottom w:val="none" w:sz="0" w:space="0" w:color="auto"/>
        <w:right w:val="none" w:sz="0" w:space="0" w:color="auto"/>
      </w:divBdr>
    </w:div>
    <w:div w:id="1616866943">
      <w:bodyDiv w:val="1"/>
      <w:marLeft w:val="0"/>
      <w:marRight w:val="0"/>
      <w:marTop w:val="0"/>
      <w:marBottom w:val="0"/>
      <w:divBdr>
        <w:top w:val="none" w:sz="0" w:space="0" w:color="auto"/>
        <w:left w:val="none" w:sz="0" w:space="0" w:color="auto"/>
        <w:bottom w:val="none" w:sz="0" w:space="0" w:color="auto"/>
        <w:right w:val="none" w:sz="0" w:space="0" w:color="auto"/>
      </w:divBdr>
    </w:div>
    <w:div w:id="1674910998">
      <w:bodyDiv w:val="1"/>
      <w:marLeft w:val="0"/>
      <w:marRight w:val="0"/>
      <w:marTop w:val="0"/>
      <w:marBottom w:val="0"/>
      <w:divBdr>
        <w:top w:val="none" w:sz="0" w:space="0" w:color="auto"/>
        <w:left w:val="none" w:sz="0" w:space="0" w:color="auto"/>
        <w:bottom w:val="none" w:sz="0" w:space="0" w:color="auto"/>
        <w:right w:val="none" w:sz="0" w:space="0" w:color="auto"/>
      </w:divBdr>
    </w:div>
    <w:div w:id="1681421959">
      <w:bodyDiv w:val="1"/>
      <w:marLeft w:val="0"/>
      <w:marRight w:val="0"/>
      <w:marTop w:val="0"/>
      <w:marBottom w:val="0"/>
      <w:divBdr>
        <w:top w:val="none" w:sz="0" w:space="0" w:color="auto"/>
        <w:left w:val="none" w:sz="0" w:space="0" w:color="auto"/>
        <w:bottom w:val="none" w:sz="0" w:space="0" w:color="auto"/>
        <w:right w:val="none" w:sz="0" w:space="0" w:color="auto"/>
      </w:divBdr>
    </w:div>
    <w:div w:id="1691032908">
      <w:bodyDiv w:val="1"/>
      <w:marLeft w:val="0"/>
      <w:marRight w:val="0"/>
      <w:marTop w:val="0"/>
      <w:marBottom w:val="0"/>
      <w:divBdr>
        <w:top w:val="none" w:sz="0" w:space="0" w:color="auto"/>
        <w:left w:val="none" w:sz="0" w:space="0" w:color="auto"/>
        <w:bottom w:val="none" w:sz="0" w:space="0" w:color="auto"/>
        <w:right w:val="none" w:sz="0" w:space="0" w:color="auto"/>
      </w:divBdr>
    </w:div>
    <w:div w:id="1750613806">
      <w:bodyDiv w:val="1"/>
      <w:marLeft w:val="0"/>
      <w:marRight w:val="0"/>
      <w:marTop w:val="0"/>
      <w:marBottom w:val="0"/>
      <w:divBdr>
        <w:top w:val="none" w:sz="0" w:space="0" w:color="auto"/>
        <w:left w:val="none" w:sz="0" w:space="0" w:color="auto"/>
        <w:bottom w:val="none" w:sz="0" w:space="0" w:color="auto"/>
        <w:right w:val="none" w:sz="0" w:space="0" w:color="auto"/>
      </w:divBdr>
    </w:div>
    <w:div w:id="1771851912">
      <w:bodyDiv w:val="1"/>
      <w:marLeft w:val="0"/>
      <w:marRight w:val="0"/>
      <w:marTop w:val="0"/>
      <w:marBottom w:val="0"/>
      <w:divBdr>
        <w:top w:val="none" w:sz="0" w:space="0" w:color="auto"/>
        <w:left w:val="none" w:sz="0" w:space="0" w:color="auto"/>
        <w:bottom w:val="none" w:sz="0" w:space="0" w:color="auto"/>
        <w:right w:val="none" w:sz="0" w:space="0" w:color="auto"/>
      </w:divBdr>
    </w:div>
    <w:div w:id="1792364020">
      <w:bodyDiv w:val="1"/>
      <w:marLeft w:val="0"/>
      <w:marRight w:val="0"/>
      <w:marTop w:val="0"/>
      <w:marBottom w:val="0"/>
      <w:divBdr>
        <w:top w:val="none" w:sz="0" w:space="0" w:color="auto"/>
        <w:left w:val="none" w:sz="0" w:space="0" w:color="auto"/>
        <w:bottom w:val="none" w:sz="0" w:space="0" w:color="auto"/>
        <w:right w:val="none" w:sz="0" w:space="0" w:color="auto"/>
      </w:divBdr>
    </w:div>
    <w:div w:id="1797023914">
      <w:bodyDiv w:val="1"/>
      <w:marLeft w:val="0"/>
      <w:marRight w:val="0"/>
      <w:marTop w:val="0"/>
      <w:marBottom w:val="0"/>
      <w:divBdr>
        <w:top w:val="none" w:sz="0" w:space="0" w:color="auto"/>
        <w:left w:val="none" w:sz="0" w:space="0" w:color="auto"/>
        <w:bottom w:val="none" w:sz="0" w:space="0" w:color="auto"/>
        <w:right w:val="none" w:sz="0" w:space="0" w:color="auto"/>
      </w:divBdr>
    </w:div>
    <w:div w:id="1822845621">
      <w:bodyDiv w:val="1"/>
      <w:marLeft w:val="0"/>
      <w:marRight w:val="0"/>
      <w:marTop w:val="0"/>
      <w:marBottom w:val="0"/>
      <w:divBdr>
        <w:top w:val="none" w:sz="0" w:space="0" w:color="auto"/>
        <w:left w:val="none" w:sz="0" w:space="0" w:color="auto"/>
        <w:bottom w:val="none" w:sz="0" w:space="0" w:color="auto"/>
        <w:right w:val="none" w:sz="0" w:space="0" w:color="auto"/>
      </w:divBdr>
    </w:div>
    <w:div w:id="2015330177">
      <w:bodyDiv w:val="1"/>
      <w:marLeft w:val="0"/>
      <w:marRight w:val="0"/>
      <w:marTop w:val="0"/>
      <w:marBottom w:val="0"/>
      <w:divBdr>
        <w:top w:val="none" w:sz="0" w:space="0" w:color="auto"/>
        <w:left w:val="none" w:sz="0" w:space="0" w:color="auto"/>
        <w:bottom w:val="none" w:sz="0" w:space="0" w:color="auto"/>
        <w:right w:val="none" w:sz="0" w:space="0" w:color="auto"/>
      </w:divBdr>
    </w:div>
    <w:div w:id="2026789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towardsdatascience.com/time-series-analysis-with-auto-arima-in-r-2b220b20e8ab" TargetMode="Externa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sanchigupta/Desktop/ALY%206050/Project%203/ALY6050_MOD3Project_Gupta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'Part 1'!$C$1</c:f>
              <c:strCache>
                <c:ptCount val="1"/>
                <c:pt idx="0">
                  <c:v>AAPL (Apple Inc) / $</c:v>
                </c:pt>
              </c:strCache>
            </c:strRef>
          </c:tx>
          <c:spPr>
            <a:ln w="28575" cap="rnd">
              <a:solidFill>
                <a:schemeClr val="accent1"/>
              </a:solidFill>
              <a:round/>
            </a:ln>
            <a:effectLst/>
          </c:spPr>
          <c:marker>
            <c:symbol val="none"/>
          </c:marker>
          <c:cat>
            <c:numRef>
              <c:f>'Part 1'!$A$2:$A$253</c:f>
              <c:numCache>
                <c:formatCode>m/d/yy</c:formatCode>
                <c:ptCount val="252"/>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numCache>
            </c:numRef>
          </c:cat>
          <c:val>
            <c:numRef>
              <c:f>'Part 1'!$C$2:$C$253</c:f>
              <c:numCache>
                <c:formatCode>0.00</c:formatCode>
                <c:ptCount val="252"/>
                <c:pt idx="0">
                  <c:v>63.954543999999999</c:v>
                </c:pt>
                <c:pt idx="1">
                  <c:v>64.460991000000007</c:v>
                </c:pt>
                <c:pt idx="2">
                  <c:v>64.401978</c:v>
                </c:pt>
                <c:pt idx="3">
                  <c:v>65.019051000000005</c:v>
                </c:pt>
                <c:pt idx="4">
                  <c:v>64.569159999999997</c:v>
                </c:pt>
                <c:pt idx="5">
                  <c:v>65.336212000000003</c:v>
                </c:pt>
                <c:pt idx="6">
                  <c:v>65.665633999999997</c:v>
                </c:pt>
                <c:pt idx="7">
                  <c:v>65.466507000000007</c:v>
                </c:pt>
                <c:pt idx="8">
                  <c:v>64.704375999999996</c:v>
                </c:pt>
                <c:pt idx="9">
                  <c:v>64.414268000000007</c:v>
                </c:pt>
                <c:pt idx="10">
                  <c:v>64.357726999999997</c:v>
                </c:pt>
                <c:pt idx="11">
                  <c:v>65.486168000000006</c:v>
                </c:pt>
                <c:pt idx="12">
                  <c:v>64.974815000000007</c:v>
                </c:pt>
                <c:pt idx="13">
                  <c:v>65.847565000000003</c:v>
                </c:pt>
                <c:pt idx="14">
                  <c:v>65.702515000000005</c:v>
                </c:pt>
                <c:pt idx="15">
                  <c:v>64.942841000000001</c:v>
                </c:pt>
                <c:pt idx="16">
                  <c:v>63.784916000000003</c:v>
                </c:pt>
                <c:pt idx="17">
                  <c:v>64.347892999999999</c:v>
                </c:pt>
                <c:pt idx="18">
                  <c:v>65.291945999999996</c:v>
                </c:pt>
                <c:pt idx="19">
                  <c:v>66.553130999999993</c:v>
                </c:pt>
                <c:pt idx="20">
                  <c:v>65.621384000000006</c:v>
                </c:pt>
                <c:pt idx="21">
                  <c:v>66.004897999999997</c:v>
                </c:pt>
                <c:pt idx="22">
                  <c:v>66.567886000000001</c:v>
                </c:pt>
                <c:pt idx="23">
                  <c:v>66.737517999999994</c:v>
                </c:pt>
                <c:pt idx="24">
                  <c:v>67.644706999999997</c:v>
                </c:pt>
                <c:pt idx="25">
                  <c:v>68.802634999999995</c:v>
                </c:pt>
                <c:pt idx="26">
                  <c:v>68.937850999999995</c:v>
                </c:pt>
                <c:pt idx="27">
                  <c:v>68.773132000000004</c:v>
                </c:pt>
                <c:pt idx="28">
                  <c:v>68.841965000000002</c:v>
                </c:pt>
                <c:pt idx="29">
                  <c:v>68.699387000000002</c:v>
                </c:pt>
                <c:pt idx="30">
                  <c:v>69.820442</c:v>
                </c:pt>
                <c:pt idx="31">
                  <c:v>69.886818000000005</c:v>
                </c:pt>
                <c:pt idx="32">
                  <c:v>71.273392000000001</c:v>
                </c:pt>
                <c:pt idx="33">
                  <c:v>71.246352999999999</c:v>
                </c:pt>
                <c:pt idx="34">
                  <c:v>71.669212000000002</c:v>
                </c:pt>
                <c:pt idx="35">
                  <c:v>72.192863000000003</c:v>
                </c:pt>
                <c:pt idx="36">
                  <c:v>73.840041999999997</c:v>
                </c:pt>
                <c:pt idx="37">
                  <c:v>73.122153999999995</c:v>
                </c:pt>
                <c:pt idx="38">
                  <c:v>73.704819000000001</c:v>
                </c:pt>
                <c:pt idx="39">
                  <c:v>73.358185000000006</c:v>
                </c:pt>
                <c:pt idx="40">
                  <c:v>74.538239000000004</c:v>
                </c:pt>
                <c:pt idx="41">
                  <c:v>76.121498000000003</c:v>
                </c:pt>
                <c:pt idx="42">
                  <c:v>76.293578999999994</c:v>
                </c:pt>
                <c:pt idx="43">
                  <c:v>77.923537999999994</c:v>
                </c:pt>
                <c:pt idx="44">
                  <c:v>76.871323000000004</c:v>
                </c:pt>
                <c:pt idx="45">
                  <c:v>76.541884999999994</c:v>
                </c:pt>
                <c:pt idx="46">
                  <c:v>77.500693999999996</c:v>
                </c:pt>
                <c:pt idx="47">
                  <c:v>78.358695999999995</c:v>
                </c:pt>
                <c:pt idx="48">
                  <c:v>77.827667000000005</c:v>
                </c:pt>
                <c:pt idx="49">
                  <c:v>78.105475999999996</c:v>
                </c:pt>
                <c:pt idx="50">
                  <c:v>78.481621000000004</c:v>
                </c:pt>
                <c:pt idx="51">
                  <c:v>78.255439999999993</c:v>
                </c:pt>
                <c:pt idx="52">
                  <c:v>75.954314999999994</c:v>
                </c:pt>
                <c:pt idx="53">
                  <c:v>78.103012000000007</c:v>
                </c:pt>
                <c:pt idx="54">
                  <c:v>79.737899999999996</c:v>
                </c:pt>
                <c:pt idx="55">
                  <c:v>79.622337000000002</c:v>
                </c:pt>
                <c:pt idx="56">
                  <c:v>76.091994999999997</c:v>
                </c:pt>
                <c:pt idx="57">
                  <c:v>75.883018000000007</c:v>
                </c:pt>
                <c:pt idx="58">
                  <c:v>78.388199</c:v>
                </c:pt>
                <c:pt idx="59">
                  <c:v>79.027405000000002</c:v>
                </c:pt>
                <c:pt idx="60">
                  <c:v>79.951774999999998</c:v>
                </c:pt>
                <c:pt idx="61">
                  <c:v>78.865020999999999</c:v>
                </c:pt>
                <c:pt idx="62">
                  <c:v>79.239593999999997</c:v>
                </c:pt>
                <c:pt idx="63">
                  <c:v>78.761520000000004</c:v>
                </c:pt>
                <c:pt idx="64">
                  <c:v>80.631927000000005</c:v>
                </c:pt>
                <c:pt idx="65">
                  <c:v>80.057738999999998</c:v>
                </c:pt>
                <c:pt idx="66">
                  <c:v>80.077461</c:v>
                </c:pt>
                <c:pt idx="67">
                  <c:v>78.611198000000002</c:v>
                </c:pt>
                <c:pt idx="68">
                  <c:v>79.749701999999999</c:v>
                </c:pt>
                <c:pt idx="69">
                  <c:v>78.931563999999995</c:v>
                </c:pt>
                <c:pt idx="70">
                  <c:v>77.144942999999998</c:v>
                </c:pt>
                <c:pt idx="71">
                  <c:v>73.480521999999993</c:v>
                </c:pt>
                <c:pt idx="72">
                  <c:v>70.991577000000007</c:v>
                </c:pt>
                <c:pt idx="73">
                  <c:v>72.117767000000001</c:v>
                </c:pt>
                <c:pt idx="74">
                  <c:v>67.403557000000006</c:v>
                </c:pt>
                <c:pt idx="75">
                  <c:v>67.364127999999994</c:v>
                </c:pt>
                <c:pt idx="76">
                  <c:v>73.635773</c:v>
                </c:pt>
                <c:pt idx="77">
                  <c:v>71.297156999999999</c:v>
                </c:pt>
                <c:pt idx="78">
                  <c:v>74.604240000000004</c:v>
                </c:pt>
                <c:pt idx="79">
                  <c:v>72.184303</c:v>
                </c:pt>
                <c:pt idx="80">
                  <c:v>71.225684999999999</c:v>
                </c:pt>
                <c:pt idx="81">
                  <c:v>65.592308000000003</c:v>
                </c:pt>
                <c:pt idx="82">
                  <c:v>70.316367999999997</c:v>
                </c:pt>
                <c:pt idx="83">
                  <c:v>67.874245000000002</c:v>
                </c:pt>
                <c:pt idx="84">
                  <c:v>61.171340999999998</c:v>
                </c:pt>
                <c:pt idx="85">
                  <c:v>68.500174999999999</c:v>
                </c:pt>
                <c:pt idx="86">
                  <c:v>59.687832</c:v>
                </c:pt>
                <c:pt idx="87">
                  <c:v>62.312308999999999</c:v>
                </c:pt>
                <c:pt idx="88">
                  <c:v>60.786911000000003</c:v>
                </c:pt>
                <c:pt idx="89">
                  <c:v>60.321156000000002</c:v>
                </c:pt>
                <c:pt idx="90">
                  <c:v>56.491633999999998</c:v>
                </c:pt>
                <c:pt idx="91">
                  <c:v>55.291519000000001</c:v>
                </c:pt>
                <c:pt idx="92">
                  <c:v>60.838661000000002</c:v>
                </c:pt>
                <c:pt idx="93">
                  <c:v>60.503517000000002</c:v>
                </c:pt>
                <c:pt idx="94">
                  <c:v>63.687393</c:v>
                </c:pt>
                <c:pt idx="95">
                  <c:v>61.050593999999997</c:v>
                </c:pt>
                <c:pt idx="96">
                  <c:v>62.792850000000001</c:v>
                </c:pt>
                <c:pt idx="97">
                  <c:v>62.664707</c:v>
                </c:pt>
                <c:pt idx="98">
                  <c:v>59.367474000000001</c:v>
                </c:pt>
                <c:pt idx="99">
                  <c:v>60.35812</c:v>
                </c:pt>
                <c:pt idx="100">
                  <c:v>59.490692000000003</c:v>
                </c:pt>
                <c:pt idx="101">
                  <c:v>64.680503999999999</c:v>
                </c:pt>
                <c:pt idx="102">
                  <c:v>63.931355000000003</c:v>
                </c:pt>
                <c:pt idx="103">
                  <c:v>65.567656999999997</c:v>
                </c:pt>
                <c:pt idx="104">
                  <c:v>66.040801999999999</c:v>
                </c:pt>
                <c:pt idx="105">
                  <c:v>67.337029000000001</c:v>
                </c:pt>
                <c:pt idx="106">
                  <c:v>70.737755000000007</c:v>
                </c:pt>
                <c:pt idx="107">
                  <c:v>70.092110000000005</c:v>
                </c:pt>
                <c:pt idx="108">
                  <c:v>70.649039999999999</c:v>
                </c:pt>
                <c:pt idx="109">
                  <c:v>69.690421999999998</c:v>
                </c:pt>
                <c:pt idx="110">
                  <c:v>68.243881000000002</c:v>
                </c:pt>
                <c:pt idx="111">
                  <c:v>66.134438000000003</c:v>
                </c:pt>
                <c:pt idx="112">
                  <c:v>68.039351999999994</c:v>
                </c:pt>
                <c:pt idx="113">
                  <c:v>67.775672999999998</c:v>
                </c:pt>
                <c:pt idx="114">
                  <c:v>69.732322999999994</c:v>
                </c:pt>
                <c:pt idx="115">
                  <c:v>69.781609000000003</c:v>
                </c:pt>
                <c:pt idx="116">
                  <c:v>68.650490000000005</c:v>
                </c:pt>
                <c:pt idx="117">
                  <c:v>70.905333999999996</c:v>
                </c:pt>
                <c:pt idx="118">
                  <c:v>72.401154000000005</c:v>
                </c:pt>
                <c:pt idx="119">
                  <c:v>71.235541999999995</c:v>
                </c:pt>
                <c:pt idx="120">
                  <c:v>72.243446000000006</c:v>
                </c:pt>
                <c:pt idx="121">
                  <c:v>73.327736000000002</c:v>
                </c:pt>
                <c:pt idx="122">
                  <c:v>74.084282000000002</c:v>
                </c:pt>
                <c:pt idx="123">
                  <c:v>74.850669999999994</c:v>
                </c:pt>
                <c:pt idx="124">
                  <c:v>77.259674000000004</c:v>
                </c:pt>
                <c:pt idx="125">
                  <c:v>78.475371999999993</c:v>
                </c:pt>
                <c:pt idx="126">
                  <c:v>77.578536999999997</c:v>
                </c:pt>
                <c:pt idx="127">
                  <c:v>76.641852999999998</c:v>
                </c:pt>
                <c:pt idx="128">
                  <c:v>77.112685999999997</c:v>
                </c:pt>
                <c:pt idx="129">
                  <c:v>76.656791999999996</c:v>
                </c:pt>
                <c:pt idx="130">
                  <c:v>78.462913999999998</c:v>
                </c:pt>
                <c:pt idx="131">
                  <c:v>78.009521000000007</c:v>
                </c:pt>
                <c:pt idx="132">
                  <c:v>79.526664999999994</c:v>
                </c:pt>
                <c:pt idx="133">
                  <c:v>78.933753999999993</c:v>
                </c:pt>
                <c:pt idx="134">
                  <c:v>79.441963000000001</c:v>
                </c:pt>
                <c:pt idx="135">
                  <c:v>78.903862000000004</c:v>
                </c:pt>
                <c:pt idx="136">
                  <c:v>79.247642999999997</c:v>
                </c:pt>
                <c:pt idx="137">
                  <c:v>79.282523999999995</c:v>
                </c:pt>
                <c:pt idx="138">
                  <c:v>79.205298999999997</c:v>
                </c:pt>
                <c:pt idx="139">
                  <c:v>80.179359000000005</c:v>
                </c:pt>
                <c:pt idx="140">
                  <c:v>80.550545</c:v>
                </c:pt>
                <c:pt idx="141">
                  <c:v>80.993979999999993</c:v>
                </c:pt>
                <c:pt idx="142">
                  <c:v>80.296447999999998</c:v>
                </c:pt>
                <c:pt idx="143">
                  <c:v>82.583374000000006</c:v>
                </c:pt>
                <c:pt idx="144">
                  <c:v>83.071640000000002</c:v>
                </c:pt>
                <c:pt idx="145">
                  <c:v>85.694878000000003</c:v>
                </c:pt>
                <c:pt idx="146">
                  <c:v>87.899590000000003</c:v>
                </c:pt>
                <c:pt idx="147">
                  <c:v>83.679496999999998</c:v>
                </c:pt>
                <c:pt idx="148">
                  <c:v>84.401947000000007</c:v>
                </c:pt>
                <c:pt idx="149">
                  <c:v>85.445755000000005</c:v>
                </c:pt>
                <c:pt idx="150">
                  <c:v>87.710257999999996</c:v>
                </c:pt>
                <c:pt idx="151">
                  <c:v>87.588195999999996</c:v>
                </c:pt>
                <c:pt idx="152">
                  <c:v>87.623076999999995</c:v>
                </c:pt>
                <c:pt idx="153">
                  <c:v>87.122337000000002</c:v>
                </c:pt>
                <c:pt idx="154">
                  <c:v>89.401786999999999</c:v>
                </c:pt>
                <c:pt idx="155">
                  <c:v>91.310051000000001</c:v>
                </c:pt>
                <c:pt idx="156">
                  <c:v>89.698241999999993</c:v>
                </c:pt>
                <c:pt idx="157">
                  <c:v>90.889037999999999</c:v>
                </c:pt>
                <c:pt idx="158">
                  <c:v>88.096405000000004</c:v>
                </c:pt>
                <c:pt idx="159">
                  <c:v>90.126732000000004</c:v>
                </c:pt>
                <c:pt idx="160">
                  <c:v>90.879065999999995</c:v>
                </c:pt>
                <c:pt idx="161">
                  <c:v>90.707176000000004</c:v>
                </c:pt>
                <c:pt idx="162">
                  <c:v>90.707176000000004</c:v>
                </c:pt>
                <c:pt idx="163">
                  <c:v>93.133613999999994</c:v>
                </c:pt>
                <c:pt idx="164">
                  <c:v>92.844634999999997</c:v>
                </c:pt>
                <c:pt idx="165">
                  <c:v>95.006996000000001</c:v>
                </c:pt>
                <c:pt idx="166">
                  <c:v>95.415558000000004</c:v>
                </c:pt>
                <c:pt idx="167">
                  <c:v>95.582465999999997</c:v>
                </c:pt>
                <c:pt idx="168">
                  <c:v>95.141525000000001</c:v>
                </c:pt>
                <c:pt idx="169">
                  <c:v>96.715964999999997</c:v>
                </c:pt>
                <c:pt idx="170">
                  <c:v>97.381111000000004</c:v>
                </c:pt>
                <c:pt idx="171">
                  <c:v>96.182845999999998</c:v>
                </c:pt>
                <c:pt idx="172">
                  <c:v>95.988533000000004</c:v>
                </c:pt>
                <c:pt idx="173">
                  <c:v>98.011391000000003</c:v>
                </c:pt>
                <c:pt idx="174">
                  <c:v>96.658660999999995</c:v>
                </c:pt>
                <c:pt idx="175">
                  <c:v>96.930199000000002</c:v>
                </c:pt>
                <c:pt idx="176">
                  <c:v>92.518287999999998</c:v>
                </c:pt>
                <c:pt idx="177">
                  <c:v>92.289092999999994</c:v>
                </c:pt>
                <c:pt idx="178">
                  <c:v>94.476364000000004</c:v>
                </c:pt>
                <c:pt idx="179">
                  <c:v>92.924355000000006</c:v>
                </c:pt>
                <c:pt idx="180">
                  <c:v>94.705558999999994</c:v>
                </c:pt>
                <c:pt idx="181">
                  <c:v>95.851517000000001</c:v>
                </c:pt>
                <c:pt idx="182">
                  <c:v>105.88608600000001</c:v>
                </c:pt>
                <c:pt idx="183">
                  <c:v>108.554153</c:v>
                </c:pt>
                <c:pt idx="184">
                  <c:v>109.279099</c:v>
                </c:pt>
                <c:pt idx="185">
                  <c:v>109.675194</c:v>
                </c:pt>
                <c:pt idx="186">
                  <c:v>113.501678</c:v>
                </c:pt>
                <c:pt idx="187">
                  <c:v>110.92113500000001</c:v>
                </c:pt>
                <c:pt idx="188">
                  <c:v>112.533356</c:v>
                </c:pt>
                <c:pt idx="189">
                  <c:v>109.186623</c:v>
                </c:pt>
                <c:pt idx="190">
                  <c:v>112.815369</c:v>
                </c:pt>
                <c:pt idx="191">
                  <c:v>114.81192</c:v>
                </c:pt>
                <c:pt idx="192">
                  <c:v>114.709602</c:v>
                </c:pt>
                <c:pt idx="193">
                  <c:v>114.41011</c:v>
                </c:pt>
                <c:pt idx="194">
                  <c:v>115.363472</c:v>
                </c:pt>
                <c:pt idx="195">
                  <c:v>115.508217</c:v>
                </c:pt>
                <c:pt idx="196">
                  <c:v>118.071297</c:v>
                </c:pt>
                <c:pt idx="197">
                  <c:v>124.1558</c:v>
                </c:pt>
                <c:pt idx="198">
                  <c:v>125.640739</c:v>
                </c:pt>
                <c:pt idx="199">
                  <c:v>124.610016</c:v>
                </c:pt>
                <c:pt idx="200">
                  <c:v>126.304596</c:v>
                </c:pt>
                <c:pt idx="201">
                  <c:v>124.794701</c:v>
                </c:pt>
                <c:pt idx="202">
                  <c:v>124.592552</c:v>
                </c:pt>
                <c:pt idx="203">
                  <c:v>128.81774899999999</c:v>
                </c:pt>
                <c:pt idx="204">
                  <c:v>133.94889800000001</c:v>
                </c:pt>
                <c:pt idx="205">
                  <c:v>131.17369099999999</c:v>
                </c:pt>
                <c:pt idx="206">
                  <c:v>120.671806</c:v>
                </c:pt>
                <c:pt idx="207">
                  <c:v>120.751671</c:v>
                </c:pt>
                <c:pt idx="208">
                  <c:v>112.625694</c:v>
                </c:pt>
                <c:pt idx="209">
                  <c:v>117.117943</c:v>
                </c:pt>
                <c:pt idx="210">
                  <c:v>113.29454</c:v>
                </c:pt>
                <c:pt idx="211">
                  <c:v>111.807106</c:v>
                </c:pt>
                <c:pt idx="212">
                  <c:v>115.161316</c:v>
                </c:pt>
                <c:pt idx="213">
                  <c:v>115.34101099999999</c:v>
                </c:pt>
                <c:pt idx="214">
                  <c:v>111.936882</c:v>
                </c:pt>
                <c:pt idx="215">
                  <c:v>110.149963</c:v>
                </c:pt>
                <c:pt idx="216">
                  <c:v>106.655991</c:v>
                </c:pt>
                <c:pt idx="217">
                  <c:v>109.890411</c:v>
                </c:pt>
                <c:pt idx="218">
                  <c:v>111.61743199999999</c:v>
                </c:pt>
                <c:pt idx="219">
                  <c:v>106.935509</c:v>
                </c:pt>
                <c:pt idx="220">
                  <c:v>108.033615</c:v>
                </c:pt>
                <c:pt idx="221">
                  <c:v>112.086624</c:v>
                </c:pt>
                <c:pt idx="222">
                  <c:v>114.76200900000001</c:v>
                </c:pt>
                <c:pt idx="223">
                  <c:v>113.893501</c:v>
                </c:pt>
                <c:pt idx="224">
                  <c:v>115.610542</c:v>
                </c:pt>
                <c:pt idx="225">
                  <c:v>116.58886</c:v>
                </c:pt>
                <c:pt idx="226">
                  <c:v>112.82534800000001</c:v>
                </c:pt>
                <c:pt idx="227">
                  <c:v>116.29935500000001</c:v>
                </c:pt>
                <c:pt idx="228">
                  <c:v>112.96511099999999</c:v>
                </c:pt>
                <c:pt idx="229">
                  <c:v>114.881805</c:v>
                </c:pt>
                <c:pt idx="230">
                  <c:v>114.77198799999999</c:v>
                </c:pt>
                <c:pt idx="231">
                  <c:v>116.768547</c:v>
                </c:pt>
                <c:pt idx="232">
                  <c:v>124.18575300000001</c:v>
                </c:pt>
                <c:pt idx="233">
                  <c:v>120.891434</c:v>
                </c:pt>
                <c:pt idx="234">
                  <c:v>120.98127700000001</c:v>
                </c:pt>
                <c:pt idx="235">
                  <c:v>120.502106</c:v>
                </c:pt>
                <c:pt idx="236">
                  <c:v>118.81501</c:v>
                </c:pt>
                <c:pt idx="237">
                  <c:v>115.78025100000001</c:v>
                </c:pt>
                <c:pt idx="238">
                  <c:v>117.30761699999999</c:v>
                </c:pt>
                <c:pt idx="239">
                  <c:v>116.668724</c:v>
                </c:pt>
                <c:pt idx="240">
                  <c:v>115.55064400000001</c:v>
                </c:pt>
                <c:pt idx="241">
                  <c:v>114.84187300000001</c:v>
                </c:pt>
                <c:pt idx="242">
                  <c:v>114.85185199999999</c:v>
                </c:pt>
                <c:pt idx="243">
                  <c:v>116.39917800000001</c:v>
                </c:pt>
                <c:pt idx="244">
                  <c:v>111.008476</c:v>
                </c:pt>
                <c:pt idx="245">
                  <c:v>115.12138400000001</c:v>
                </c:pt>
                <c:pt idx="246">
                  <c:v>108.672516</c:v>
                </c:pt>
                <c:pt idx="247">
                  <c:v>108.58266399999999</c:v>
                </c:pt>
                <c:pt idx="248">
                  <c:v>110.24979399999999</c:v>
                </c:pt>
                <c:pt idx="249">
                  <c:v>114.752022</c:v>
                </c:pt>
                <c:pt idx="250">
                  <c:v>118.824997</c:v>
                </c:pt>
                <c:pt idx="251">
                  <c:v>118.69000200000001</c:v>
                </c:pt>
              </c:numCache>
            </c:numRef>
          </c:val>
          <c:smooth val="0"/>
          <c:extLst>
            <c:ext xmlns:c16="http://schemas.microsoft.com/office/drawing/2014/chart" uri="{C3380CC4-5D6E-409C-BE32-E72D297353CC}">
              <c16:uniqueId val="{00000000-A76D-464A-A711-32B566D33EA9}"/>
            </c:ext>
          </c:extLst>
        </c:ser>
        <c:ser>
          <c:idx val="1"/>
          <c:order val="1"/>
          <c:tx>
            <c:strRef>
              <c:f>'Part 1'!$D$1</c:f>
              <c:strCache>
                <c:ptCount val="1"/>
                <c:pt idx="0">
                  <c:v>HON (Honeywell Inc)  /  $</c:v>
                </c:pt>
              </c:strCache>
            </c:strRef>
          </c:tx>
          <c:spPr>
            <a:ln w="28575" cap="rnd">
              <a:solidFill>
                <a:schemeClr val="accent2"/>
              </a:solidFill>
              <a:round/>
            </a:ln>
            <a:effectLst/>
          </c:spPr>
          <c:marker>
            <c:symbol val="none"/>
          </c:marker>
          <c:cat>
            <c:numRef>
              <c:f>'Part 1'!$A$2:$A$253</c:f>
              <c:numCache>
                <c:formatCode>m/d/yy</c:formatCode>
                <c:ptCount val="252"/>
                <c:pt idx="0">
                  <c:v>43777</c:v>
                </c:pt>
                <c:pt idx="1">
                  <c:v>43780</c:v>
                </c:pt>
                <c:pt idx="2">
                  <c:v>43781</c:v>
                </c:pt>
                <c:pt idx="3">
                  <c:v>43782</c:v>
                </c:pt>
                <c:pt idx="4">
                  <c:v>43783</c:v>
                </c:pt>
                <c:pt idx="5">
                  <c:v>43784</c:v>
                </c:pt>
                <c:pt idx="6">
                  <c:v>43787</c:v>
                </c:pt>
                <c:pt idx="7">
                  <c:v>43788</c:v>
                </c:pt>
                <c:pt idx="8">
                  <c:v>43789</c:v>
                </c:pt>
                <c:pt idx="9">
                  <c:v>43790</c:v>
                </c:pt>
                <c:pt idx="10">
                  <c:v>43791</c:v>
                </c:pt>
                <c:pt idx="11">
                  <c:v>43794</c:v>
                </c:pt>
                <c:pt idx="12">
                  <c:v>43795</c:v>
                </c:pt>
                <c:pt idx="13">
                  <c:v>43796</c:v>
                </c:pt>
                <c:pt idx="14">
                  <c:v>43798</c:v>
                </c:pt>
                <c:pt idx="15">
                  <c:v>43801</c:v>
                </c:pt>
                <c:pt idx="16">
                  <c:v>43802</c:v>
                </c:pt>
                <c:pt idx="17">
                  <c:v>43803</c:v>
                </c:pt>
                <c:pt idx="18">
                  <c:v>43804</c:v>
                </c:pt>
                <c:pt idx="19">
                  <c:v>43805</c:v>
                </c:pt>
                <c:pt idx="20">
                  <c:v>43808</c:v>
                </c:pt>
                <c:pt idx="21">
                  <c:v>43809</c:v>
                </c:pt>
                <c:pt idx="22">
                  <c:v>43810</c:v>
                </c:pt>
                <c:pt idx="23">
                  <c:v>43811</c:v>
                </c:pt>
                <c:pt idx="24">
                  <c:v>43812</c:v>
                </c:pt>
                <c:pt idx="25">
                  <c:v>43815</c:v>
                </c:pt>
                <c:pt idx="26">
                  <c:v>43816</c:v>
                </c:pt>
                <c:pt idx="27">
                  <c:v>43817</c:v>
                </c:pt>
                <c:pt idx="28">
                  <c:v>43818</c:v>
                </c:pt>
                <c:pt idx="29">
                  <c:v>43819</c:v>
                </c:pt>
                <c:pt idx="30">
                  <c:v>43822</c:v>
                </c:pt>
                <c:pt idx="31">
                  <c:v>43823</c:v>
                </c:pt>
                <c:pt idx="32">
                  <c:v>43825</c:v>
                </c:pt>
                <c:pt idx="33">
                  <c:v>43826</c:v>
                </c:pt>
                <c:pt idx="34">
                  <c:v>43829</c:v>
                </c:pt>
                <c:pt idx="35">
                  <c:v>43830</c:v>
                </c:pt>
                <c:pt idx="36">
                  <c:v>43832</c:v>
                </c:pt>
                <c:pt idx="37">
                  <c:v>43833</c:v>
                </c:pt>
                <c:pt idx="38">
                  <c:v>43836</c:v>
                </c:pt>
                <c:pt idx="39">
                  <c:v>43837</c:v>
                </c:pt>
                <c:pt idx="40">
                  <c:v>43838</c:v>
                </c:pt>
                <c:pt idx="41">
                  <c:v>43839</c:v>
                </c:pt>
                <c:pt idx="42">
                  <c:v>43840</c:v>
                </c:pt>
                <c:pt idx="43">
                  <c:v>43843</c:v>
                </c:pt>
                <c:pt idx="44">
                  <c:v>43844</c:v>
                </c:pt>
                <c:pt idx="45">
                  <c:v>43845</c:v>
                </c:pt>
                <c:pt idx="46">
                  <c:v>43846</c:v>
                </c:pt>
                <c:pt idx="47">
                  <c:v>43847</c:v>
                </c:pt>
                <c:pt idx="48">
                  <c:v>43851</c:v>
                </c:pt>
                <c:pt idx="49">
                  <c:v>43852</c:v>
                </c:pt>
                <c:pt idx="50">
                  <c:v>43853</c:v>
                </c:pt>
                <c:pt idx="51">
                  <c:v>43854</c:v>
                </c:pt>
                <c:pt idx="52">
                  <c:v>43857</c:v>
                </c:pt>
                <c:pt idx="53">
                  <c:v>43858</c:v>
                </c:pt>
                <c:pt idx="54">
                  <c:v>43859</c:v>
                </c:pt>
                <c:pt idx="55">
                  <c:v>43860</c:v>
                </c:pt>
                <c:pt idx="56">
                  <c:v>43861</c:v>
                </c:pt>
                <c:pt idx="57">
                  <c:v>43864</c:v>
                </c:pt>
                <c:pt idx="58">
                  <c:v>43865</c:v>
                </c:pt>
                <c:pt idx="59">
                  <c:v>43866</c:v>
                </c:pt>
                <c:pt idx="60">
                  <c:v>43867</c:v>
                </c:pt>
                <c:pt idx="61">
                  <c:v>43868</c:v>
                </c:pt>
                <c:pt idx="62">
                  <c:v>43871</c:v>
                </c:pt>
                <c:pt idx="63">
                  <c:v>43872</c:v>
                </c:pt>
                <c:pt idx="64">
                  <c:v>43873</c:v>
                </c:pt>
                <c:pt idx="65">
                  <c:v>43874</c:v>
                </c:pt>
                <c:pt idx="66">
                  <c:v>43875</c:v>
                </c:pt>
                <c:pt idx="67">
                  <c:v>43879</c:v>
                </c:pt>
                <c:pt idx="68">
                  <c:v>43880</c:v>
                </c:pt>
                <c:pt idx="69">
                  <c:v>43881</c:v>
                </c:pt>
                <c:pt idx="70">
                  <c:v>43882</c:v>
                </c:pt>
                <c:pt idx="71">
                  <c:v>43885</c:v>
                </c:pt>
                <c:pt idx="72">
                  <c:v>43886</c:v>
                </c:pt>
                <c:pt idx="73">
                  <c:v>43887</c:v>
                </c:pt>
                <c:pt idx="74">
                  <c:v>43888</c:v>
                </c:pt>
                <c:pt idx="75">
                  <c:v>43889</c:v>
                </c:pt>
                <c:pt idx="76">
                  <c:v>43892</c:v>
                </c:pt>
                <c:pt idx="77">
                  <c:v>43893</c:v>
                </c:pt>
                <c:pt idx="78">
                  <c:v>43894</c:v>
                </c:pt>
                <c:pt idx="79">
                  <c:v>43895</c:v>
                </c:pt>
                <c:pt idx="80">
                  <c:v>43896</c:v>
                </c:pt>
                <c:pt idx="81">
                  <c:v>43899</c:v>
                </c:pt>
                <c:pt idx="82">
                  <c:v>43900</c:v>
                </c:pt>
                <c:pt idx="83">
                  <c:v>43901</c:v>
                </c:pt>
                <c:pt idx="84">
                  <c:v>43902</c:v>
                </c:pt>
                <c:pt idx="85">
                  <c:v>43903</c:v>
                </c:pt>
                <c:pt idx="86">
                  <c:v>43906</c:v>
                </c:pt>
                <c:pt idx="87">
                  <c:v>43907</c:v>
                </c:pt>
                <c:pt idx="88">
                  <c:v>43908</c:v>
                </c:pt>
                <c:pt idx="89">
                  <c:v>43909</c:v>
                </c:pt>
                <c:pt idx="90">
                  <c:v>43910</c:v>
                </c:pt>
                <c:pt idx="91">
                  <c:v>43913</c:v>
                </c:pt>
                <c:pt idx="92">
                  <c:v>43914</c:v>
                </c:pt>
                <c:pt idx="93">
                  <c:v>43915</c:v>
                </c:pt>
                <c:pt idx="94">
                  <c:v>43916</c:v>
                </c:pt>
                <c:pt idx="95">
                  <c:v>43917</c:v>
                </c:pt>
                <c:pt idx="96">
                  <c:v>43920</c:v>
                </c:pt>
                <c:pt idx="97">
                  <c:v>43921</c:v>
                </c:pt>
                <c:pt idx="98">
                  <c:v>43922</c:v>
                </c:pt>
                <c:pt idx="99">
                  <c:v>43923</c:v>
                </c:pt>
                <c:pt idx="100">
                  <c:v>43924</c:v>
                </c:pt>
                <c:pt idx="101">
                  <c:v>43927</c:v>
                </c:pt>
                <c:pt idx="102">
                  <c:v>43928</c:v>
                </c:pt>
                <c:pt idx="103">
                  <c:v>43929</c:v>
                </c:pt>
                <c:pt idx="104">
                  <c:v>43930</c:v>
                </c:pt>
                <c:pt idx="105">
                  <c:v>43934</c:v>
                </c:pt>
                <c:pt idx="106">
                  <c:v>43935</c:v>
                </c:pt>
                <c:pt idx="107">
                  <c:v>43936</c:v>
                </c:pt>
                <c:pt idx="108">
                  <c:v>43937</c:v>
                </c:pt>
                <c:pt idx="109">
                  <c:v>43938</c:v>
                </c:pt>
                <c:pt idx="110">
                  <c:v>43941</c:v>
                </c:pt>
                <c:pt idx="111">
                  <c:v>43942</c:v>
                </c:pt>
                <c:pt idx="112">
                  <c:v>43943</c:v>
                </c:pt>
                <c:pt idx="113">
                  <c:v>43944</c:v>
                </c:pt>
                <c:pt idx="114">
                  <c:v>43945</c:v>
                </c:pt>
                <c:pt idx="115">
                  <c:v>43948</c:v>
                </c:pt>
                <c:pt idx="116">
                  <c:v>43949</c:v>
                </c:pt>
                <c:pt idx="117">
                  <c:v>43950</c:v>
                </c:pt>
                <c:pt idx="118">
                  <c:v>43951</c:v>
                </c:pt>
                <c:pt idx="119">
                  <c:v>43952</c:v>
                </c:pt>
                <c:pt idx="120">
                  <c:v>43955</c:v>
                </c:pt>
                <c:pt idx="121">
                  <c:v>43956</c:v>
                </c:pt>
                <c:pt idx="122">
                  <c:v>43957</c:v>
                </c:pt>
                <c:pt idx="123">
                  <c:v>43958</c:v>
                </c:pt>
                <c:pt idx="124">
                  <c:v>43959</c:v>
                </c:pt>
                <c:pt idx="125">
                  <c:v>43962</c:v>
                </c:pt>
                <c:pt idx="126">
                  <c:v>43963</c:v>
                </c:pt>
                <c:pt idx="127">
                  <c:v>43964</c:v>
                </c:pt>
                <c:pt idx="128">
                  <c:v>43965</c:v>
                </c:pt>
                <c:pt idx="129">
                  <c:v>43966</c:v>
                </c:pt>
                <c:pt idx="130">
                  <c:v>43969</c:v>
                </c:pt>
                <c:pt idx="131">
                  <c:v>43970</c:v>
                </c:pt>
                <c:pt idx="132">
                  <c:v>43971</c:v>
                </c:pt>
                <c:pt idx="133">
                  <c:v>43972</c:v>
                </c:pt>
                <c:pt idx="134">
                  <c:v>43973</c:v>
                </c:pt>
                <c:pt idx="135">
                  <c:v>43977</c:v>
                </c:pt>
                <c:pt idx="136">
                  <c:v>43978</c:v>
                </c:pt>
                <c:pt idx="137">
                  <c:v>43979</c:v>
                </c:pt>
                <c:pt idx="138">
                  <c:v>43980</c:v>
                </c:pt>
                <c:pt idx="139">
                  <c:v>43983</c:v>
                </c:pt>
                <c:pt idx="140">
                  <c:v>43984</c:v>
                </c:pt>
                <c:pt idx="141">
                  <c:v>43985</c:v>
                </c:pt>
                <c:pt idx="142">
                  <c:v>43986</c:v>
                </c:pt>
                <c:pt idx="143">
                  <c:v>43987</c:v>
                </c:pt>
                <c:pt idx="144">
                  <c:v>43990</c:v>
                </c:pt>
                <c:pt idx="145">
                  <c:v>43991</c:v>
                </c:pt>
                <c:pt idx="146">
                  <c:v>43992</c:v>
                </c:pt>
                <c:pt idx="147">
                  <c:v>43993</c:v>
                </c:pt>
                <c:pt idx="148">
                  <c:v>43994</c:v>
                </c:pt>
                <c:pt idx="149">
                  <c:v>43997</c:v>
                </c:pt>
                <c:pt idx="150">
                  <c:v>43998</c:v>
                </c:pt>
                <c:pt idx="151">
                  <c:v>43999</c:v>
                </c:pt>
                <c:pt idx="152">
                  <c:v>44000</c:v>
                </c:pt>
                <c:pt idx="153">
                  <c:v>44001</c:v>
                </c:pt>
                <c:pt idx="154">
                  <c:v>44004</c:v>
                </c:pt>
                <c:pt idx="155">
                  <c:v>44005</c:v>
                </c:pt>
                <c:pt idx="156">
                  <c:v>44006</c:v>
                </c:pt>
                <c:pt idx="157">
                  <c:v>44007</c:v>
                </c:pt>
                <c:pt idx="158">
                  <c:v>44008</c:v>
                </c:pt>
                <c:pt idx="159">
                  <c:v>44011</c:v>
                </c:pt>
                <c:pt idx="160">
                  <c:v>44012</c:v>
                </c:pt>
                <c:pt idx="161">
                  <c:v>44013</c:v>
                </c:pt>
                <c:pt idx="162">
                  <c:v>44014</c:v>
                </c:pt>
                <c:pt idx="163">
                  <c:v>44018</c:v>
                </c:pt>
                <c:pt idx="164">
                  <c:v>44019</c:v>
                </c:pt>
                <c:pt idx="165">
                  <c:v>44020</c:v>
                </c:pt>
                <c:pt idx="166">
                  <c:v>44021</c:v>
                </c:pt>
                <c:pt idx="167">
                  <c:v>44022</c:v>
                </c:pt>
                <c:pt idx="168">
                  <c:v>44025</c:v>
                </c:pt>
                <c:pt idx="169">
                  <c:v>44026</c:v>
                </c:pt>
                <c:pt idx="170">
                  <c:v>44027</c:v>
                </c:pt>
                <c:pt idx="171">
                  <c:v>44028</c:v>
                </c:pt>
                <c:pt idx="172">
                  <c:v>44029</c:v>
                </c:pt>
                <c:pt idx="173">
                  <c:v>44032</c:v>
                </c:pt>
                <c:pt idx="174">
                  <c:v>44033</c:v>
                </c:pt>
                <c:pt idx="175">
                  <c:v>44034</c:v>
                </c:pt>
                <c:pt idx="176">
                  <c:v>44035</c:v>
                </c:pt>
                <c:pt idx="177">
                  <c:v>44036</c:v>
                </c:pt>
                <c:pt idx="178">
                  <c:v>44039</c:v>
                </c:pt>
                <c:pt idx="179">
                  <c:v>44040</c:v>
                </c:pt>
                <c:pt idx="180">
                  <c:v>44041</c:v>
                </c:pt>
                <c:pt idx="181">
                  <c:v>44042</c:v>
                </c:pt>
                <c:pt idx="182">
                  <c:v>44043</c:v>
                </c:pt>
                <c:pt idx="183">
                  <c:v>44046</c:v>
                </c:pt>
                <c:pt idx="184">
                  <c:v>44047</c:v>
                </c:pt>
                <c:pt idx="185">
                  <c:v>44048</c:v>
                </c:pt>
                <c:pt idx="186">
                  <c:v>44049</c:v>
                </c:pt>
                <c:pt idx="187">
                  <c:v>44050</c:v>
                </c:pt>
                <c:pt idx="188">
                  <c:v>44053</c:v>
                </c:pt>
                <c:pt idx="189">
                  <c:v>44054</c:v>
                </c:pt>
                <c:pt idx="190">
                  <c:v>44055</c:v>
                </c:pt>
                <c:pt idx="191">
                  <c:v>44056</c:v>
                </c:pt>
                <c:pt idx="192">
                  <c:v>44057</c:v>
                </c:pt>
                <c:pt idx="193">
                  <c:v>44060</c:v>
                </c:pt>
                <c:pt idx="194">
                  <c:v>44061</c:v>
                </c:pt>
                <c:pt idx="195">
                  <c:v>44062</c:v>
                </c:pt>
                <c:pt idx="196">
                  <c:v>44063</c:v>
                </c:pt>
                <c:pt idx="197">
                  <c:v>44064</c:v>
                </c:pt>
                <c:pt idx="198">
                  <c:v>44067</c:v>
                </c:pt>
                <c:pt idx="199">
                  <c:v>44068</c:v>
                </c:pt>
                <c:pt idx="200">
                  <c:v>44069</c:v>
                </c:pt>
                <c:pt idx="201">
                  <c:v>44070</c:v>
                </c:pt>
                <c:pt idx="202">
                  <c:v>44071</c:v>
                </c:pt>
                <c:pt idx="203">
                  <c:v>44074</c:v>
                </c:pt>
                <c:pt idx="204">
                  <c:v>44075</c:v>
                </c:pt>
                <c:pt idx="205">
                  <c:v>44076</c:v>
                </c:pt>
                <c:pt idx="206">
                  <c:v>44077</c:v>
                </c:pt>
                <c:pt idx="207">
                  <c:v>44078</c:v>
                </c:pt>
                <c:pt idx="208">
                  <c:v>44082</c:v>
                </c:pt>
                <c:pt idx="209">
                  <c:v>44083</c:v>
                </c:pt>
                <c:pt idx="210">
                  <c:v>44084</c:v>
                </c:pt>
                <c:pt idx="211">
                  <c:v>44085</c:v>
                </c:pt>
                <c:pt idx="212">
                  <c:v>44088</c:v>
                </c:pt>
                <c:pt idx="213">
                  <c:v>44089</c:v>
                </c:pt>
                <c:pt idx="214">
                  <c:v>44090</c:v>
                </c:pt>
                <c:pt idx="215">
                  <c:v>44091</c:v>
                </c:pt>
                <c:pt idx="216">
                  <c:v>44092</c:v>
                </c:pt>
                <c:pt idx="217">
                  <c:v>44095</c:v>
                </c:pt>
                <c:pt idx="218">
                  <c:v>44096</c:v>
                </c:pt>
                <c:pt idx="219">
                  <c:v>44097</c:v>
                </c:pt>
                <c:pt idx="220">
                  <c:v>44098</c:v>
                </c:pt>
                <c:pt idx="221">
                  <c:v>44099</c:v>
                </c:pt>
                <c:pt idx="222">
                  <c:v>44102</c:v>
                </c:pt>
                <c:pt idx="223">
                  <c:v>44103</c:v>
                </c:pt>
                <c:pt idx="224">
                  <c:v>44104</c:v>
                </c:pt>
                <c:pt idx="225">
                  <c:v>44105</c:v>
                </c:pt>
                <c:pt idx="226">
                  <c:v>44106</c:v>
                </c:pt>
                <c:pt idx="227">
                  <c:v>44109</c:v>
                </c:pt>
                <c:pt idx="228">
                  <c:v>44110</c:v>
                </c:pt>
                <c:pt idx="229">
                  <c:v>44111</c:v>
                </c:pt>
                <c:pt idx="230">
                  <c:v>44112</c:v>
                </c:pt>
                <c:pt idx="231">
                  <c:v>44113</c:v>
                </c:pt>
                <c:pt idx="232">
                  <c:v>44116</c:v>
                </c:pt>
                <c:pt idx="233">
                  <c:v>44117</c:v>
                </c:pt>
                <c:pt idx="234">
                  <c:v>44118</c:v>
                </c:pt>
                <c:pt idx="235">
                  <c:v>44119</c:v>
                </c:pt>
                <c:pt idx="236">
                  <c:v>44120</c:v>
                </c:pt>
                <c:pt idx="237">
                  <c:v>44123</c:v>
                </c:pt>
                <c:pt idx="238">
                  <c:v>44124</c:v>
                </c:pt>
                <c:pt idx="239">
                  <c:v>44125</c:v>
                </c:pt>
                <c:pt idx="240">
                  <c:v>44126</c:v>
                </c:pt>
                <c:pt idx="241">
                  <c:v>44127</c:v>
                </c:pt>
                <c:pt idx="242">
                  <c:v>44130</c:v>
                </c:pt>
                <c:pt idx="243">
                  <c:v>44131</c:v>
                </c:pt>
                <c:pt idx="244">
                  <c:v>44132</c:v>
                </c:pt>
                <c:pt idx="245">
                  <c:v>44133</c:v>
                </c:pt>
                <c:pt idx="246">
                  <c:v>44134</c:v>
                </c:pt>
                <c:pt idx="247">
                  <c:v>44137</c:v>
                </c:pt>
                <c:pt idx="248">
                  <c:v>44138</c:v>
                </c:pt>
                <c:pt idx="249">
                  <c:v>44139</c:v>
                </c:pt>
                <c:pt idx="250">
                  <c:v>44140</c:v>
                </c:pt>
                <c:pt idx="251">
                  <c:v>44141</c:v>
                </c:pt>
              </c:numCache>
            </c:numRef>
          </c:cat>
          <c:val>
            <c:numRef>
              <c:f>'Part 1'!$D$2:$D$253</c:f>
              <c:numCache>
                <c:formatCode>0.00</c:formatCode>
                <c:ptCount val="252"/>
                <c:pt idx="0">
                  <c:v>177.02937299999999</c:v>
                </c:pt>
                <c:pt idx="1">
                  <c:v>176.658142</c:v>
                </c:pt>
                <c:pt idx="2">
                  <c:v>177.810913</c:v>
                </c:pt>
                <c:pt idx="3">
                  <c:v>177.752319</c:v>
                </c:pt>
                <c:pt idx="4">
                  <c:v>176.37780799999999</c:v>
                </c:pt>
                <c:pt idx="5">
                  <c:v>178.43956</c:v>
                </c:pt>
                <c:pt idx="6">
                  <c:v>176.52507</c:v>
                </c:pt>
                <c:pt idx="7">
                  <c:v>176.839249</c:v>
                </c:pt>
                <c:pt idx="8">
                  <c:v>173.99208100000001</c:v>
                </c:pt>
                <c:pt idx="9">
                  <c:v>173.31463600000001</c:v>
                </c:pt>
                <c:pt idx="10">
                  <c:v>173.56990099999999</c:v>
                </c:pt>
                <c:pt idx="11">
                  <c:v>173.29499799999999</c:v>
                </c:pt>
                <c:pt idx="12">
                  <c:v>175.26838699999999</c:v>
                </c:pt>
                <c:pt idx="13">
                  <c:v>176.151993</c:v>
                </c:pt>
                <c:pt idx="14">
                  <c:v>175.29785200000001</c:v>
                </c:pt>
                <c:pt idx="15">
                  <c:v>171.144913</c:v>
                </c:pt>
                <c:pt idx="16">
                  <c:v>169.40713500000001</c:v>
                </c:pt>
                <c:pt idx="17">
                  <c:v>170.055115</c:v>
                </c:pt>
                <c:pt idx="18">
                  <c:v>170.84053</c:v>
                </c:pt>
                <c:pt idx="19">
                  <c:v>172.26414500000001</c:v>
                </c:pt>
                <c:pt idx="20">
                  <c:v>171.31179800000001</c:v>
                </c:pt>
                <c:pt idx="21">
                  <c:v>170.86998</c:v>
                </c:pt>
                <c:pt idx="22">
                  <c:v>172.804092</c:v>
                </c:pt>
                <c:pt idx="23">
                  <c:v>174.15898100000001</c:v>
                </c:pt>
                <c:pt idx="24">
                  <c:v>173.756439</c:v>
                </c:pt>
                <c:pt idx="25">
                  <c:v>173.18699599999999</c:v>
                </c:pt>
                <c:pt idx="26">
                  <c:v>173.481537</c:v>
                </c:pt>
                <c:pt idx="27">
                  <c:v>171.45906099999999</c:v>
                </c:pt>
                <c:pt idx="28">
                  <c:v>173.28518700000001</c:v>
                </c:pt>
                <c:pt idx="29">
                  <c:v>173.19682299999999</c:v>
                </c:pt>
                <c:pt idx="30">
                  <c:v>173.21646100000001</c:v>
                </c:pt>
                <c:pt idx="31">
                  <c:v>173.098648</c:v>
                </c:pt>
                <c:pt idx="32">
                  <c:v>173.658264</c:v>
                </c:pt>
                <c:pt idx="33">
                  <c:v>173.26556400000001</c:v>
                </c:pt>
                <c:pt idx="34">
                  <c:v>173.20661899999999</c:v>
                </c:pt>
                <c:pt idx="35">
                  <c:v>173.776062</c:v>
                </c:pt>
                <c:pt idx="36">
                  <c:v>177.49704</c:v>
                </c:pt>
                <c:pt idx="37">
                  <c:v>175.602203</c:v>
                </c:pt>
                <c:pt idx="38">
                  <c:v>174.276794</c:v>
                </c:pt>
                <c:pt idx="39">
                  <c:v>174.37496899999999</c:v>
                </c:pt>
                <c:pt idx="40">
                  <c:v>174.522232</c:v>
                </c:pt>
                <c:pt idx="41">
                  <c:v>175.80838</c:v>
                </c:pt>
                <c:pt idx="42">
                  <c:v>175.42546100000001</c:v>
                </c:pt>
                <c:pt idx="43">
                  <c:v>177.96829199999999</c:v>
                </c:pt>
                <c:pt idx="44">
                  <c:v>177.16322299999999</c:v>
                </c:pt>
                <c:pt idx="45">
                  <c:v>177.43812600000001</c:v>
                </c:pt>
                <c:pt idx="46">
                  <c:v>178.94026199999999</c:v>
                </c:pt>
                <c:pt idx="47">
                  <c:v>179.89259300000001</c:v>
                </c:pt>
                <c:pt idx="48">
                  <c:v>177.634491</c:v>
                </c:pt>
                <c:pt idx="49">
                  <c:v>176.770523</c:v>
                </c:pt>
                <c:pt idx="50">
                  <c:v>176.30909700000001</c:v>
                </c:pt>
                <c:pt idx="51">
                  <c:v>173.903717</c:v>
                </c:pt>
                <c:pt idx="52">
                  <c:v>170.37908899999999</c:v>
                </c:pt>
                <c:pt idx="53">
                  <c:v>172.26414500000001</c:v>
                </c:pt>
                <c:pt idx="54">
                  <c:v>172.47030599999999</c:v>
                </c:pt>
                <c:pt idx="55">
                  <c:v>175.09165999999999</c:v>
                </c:pt>
                <c:pt idx="56">
                  <c:v>170.06492600000001</c:v>
                </c:pt>
                <c:pt idx="57">
                  <c:v>168.19955400000001</c:v>
                </c:pt>
                <c:pt idx="58">
                  <c:v>172.01869199999999</c:v>
                </c:pt>
                <c:pt idx="59">
                  <c:v>173.677887</c:v>
                </c:pt>
                <c:pt idx="60">
                  <c:v>173.137924</c:v>
                </c:pt>
                <c:pt idx="61">
                  <c:v>172.08738700000001</c:v>
                </c:pt>
                <c:pt idx="62">
                  <c:v>173.72699</c:v>
                </c:pt>
                <c:pt idx="63">
                  <c:v>175.88691700000001</c:v>
                </c:pt>
                <c:pt idx="64">
                  <c:v>177.879929</c:v>
                </c:pt>
                <c:pt idx="65">
                  <c:v>176.839249</c:v>
                </c:pt>
                <c:pt idx="66">
                  <c:v>177.516693</c:v>
                </c:pt>
                <c:pt idx="67">
                  <c:v>176.151993</c:v>
                </c:pt>
                <c:pt idx="68">
                  <c:v>177.565765</c:v>
                </c:pt>
                <c:pt idx="69">
                  <c:v>177.408691</c:v>
                </c:pt>
                <c:pt idx="70">
                  <c:v>176.603622</c:v>
                </c:pt>
                <c:pt idx="71">
                  <c:v>172.07759100000001</c:v>
                </c:pt>
                <c:pt idx="72">
                  <c:v>164.743652</c:v>
                </c:pt>
                <c:pt idx="73">
                  <c:v>164.134918</c:v>
                </c:pt>
                <c:pt idx="74">
                  <c:v>157.49176</c:v>
                </c:pt>
                <c:pt idx="75">
                  <c:v>160.077957</c:v>
                </c:pt>
                <c:pt idx="76">
                  <c:v>162.12127699999999</c:v>
                </c:pt>
                <c:pt idx="77">
                  <c:v>159.80157500000001</c:v>
                </c:pt>
                <c:pt idx="78">
                  <c:v>168.98161300000001</c:v>
                </c:pt>
                <c:pt idx="79">
                  <c:v>162.79248000000001</c:v>
                </c:pt>
                <c:pt idx="80">
                  <c:v>161.913971</c:v>
                </c:pt>
                <c:pt idx="81">
                  <c:v>150.88806199999999</c:v>
                </c:pt>
                <c:pt idx="82">
                  <c:v>159.60415599999999</c:v>
                </c:pt>
                <c:pt idx="83">
                  <c:v>151.411224</c:v>
                </c:pt>
                <c:pt idx="84">
                  <c:v>133.11039700000001</c:v>
                </c:pt>
                <c:pt idx="85">
                  <c:v>147.482574</c:v>
                </c:pt>
                <c:pt idx="86">
                  <c:v>133.524979</c:v>
                </c:pt>
                <c:pt idx="87">
                  <c:v>130.09974700000001</c:v>
                </c:pt>
                <c:pt idx="88">
                  <c:v>118.067001</c:v>
                </c:pt>
                <c:pt idx="89">
                  <c:v>117.42538500000001</c:v>
                </c:pt>
                <c:pt idx="90">
                  <c:v>111.048721</c:v>
                </c:pt>
                <c:pt idx="91">
                  <c:v>102.520172</c:v>
                </c:pt>
                <c:pt idx="92">
                  <c:v>117.96828499999999</c:v>
                </c:pt>
                <c:pt idx="93">
                  <c:v>127.977478</c:v>
                </c:pt>
                <c:pt idx="94">
                  <c:v>135.627487</c:v>
                </c:pt>
                <c:pt idx="95">
                  <c:v>129.57659899999999</c:v>
                </c:pt>
                <c:pt idx="96">
                  <c:v>130.05038500000001</c:v>
                </c:pt>
                <c:pt idx="97">
                  <c:v>132.06407200000001</c:v>
                </c:pt>
                <c:pt idx="98">
                  <c:v>128.03671299999999</c:v>
                </c:pt>
                <c:pt idx="99">
                  <c:v>131.09671</c:v>
                </c:pt>
                <c:pt idx="100">
                  <c:v>125.805862</c:v>
                </c:pt>
                <c:pt idx="101">
                  <c:v>132.27136200000001</c:v>
                </c:pt>
                <c:pt idx="102">
                  <c:v>133.495361</c:v>
                </c:pt>
                <c:pt idx="103">
                  <c:v>137.453644</c:v>
                </c:pt>
                <c:pt idx="104">
                  <c:v>141.579712</c:v>
                </c:pt>
                <c:pt idx="105">
                  <c:v>136.160538</c:v>
                </c:pt>
                <c:pt idx="106">
                  <c:v>138.77633700000001</c:v>
                </c:pt>
                <c:pt idx="107">
                  <c:v>133.100525</c:v>
                </c:pt>
                <c:pt idx="108">
                  <c:v>130.62290999999999</c:v>
                </c:pt>
                <c:pt idx="109">
                  <c:v>136.53564499999999</c:v>
                </c:pt>
                <c:pt idx="110">
                  <c:v>133.949432</c:v>
                </c:pt>
                <c:pt idx="111">
                  <c:v>130.29716500000001</c:v>
                </c:pt>
                <c:pt idx="112">
                  <c:v>131.313873</c:v>
                </c:pt>
                <c:pt idx="113">
                  <c:v>132.94258099999999</c:v>
                </c:pt>
                <c:pt idx="114">
                  <c:v>133.771759</c:v>
                </c:pt>
                <c:pt idx="115">
                  <c:v>138.07551599999999</c:v>
                </c:pt>
                <c:pt idx="116">
                  <c:v>140.91835</c:v>
                </c:pt>
                <c:pt idx="117">
                  <c:v>144.274506</c:v>
                </c:pt>
                <c:pt idx="118">
                  <c:v>140.06944300000001</c:v>
                </c:pt>
                <c:pt idx="119">
                  <c:v>135.47943100000001</c:v>
                </c:pt>
                <c:pt idx="120">
                  <c:v>133.45588699999999</c:v>
                </c:pt>
                <c:pt idx="121">
                  <c:v>133.13014200000001</c:v>
                </c:pt>
                <c:pt idx="122">
                  <c:v>131.323746</c:v>
                </c:pt>
                <c:pt idx="123">
                  <c:v>131.076965</c:v>
                </c:pt>
                <c:pt idx="124">
                  <c:v>135.14382900000001</c:v>
                </c:pt>
                <c:pt idx="125">
                  <c:v>132.54776000000001</c:v>
                </c:pt>
                <c:pt idx="126">
                  <c:v>125.944046</c:v>
                </c:pt>
                <c:pt idx="127">
                  <c:v>121.383652</c:v>
                </c:pt>
                <c:pt idx="128">
                  <c:v>126.335655</c:v>
                </c:pt>
                <c:pt idx="129">
                  <c:v>124.70488</c:v>
                </c:pt>
                <c:pt idx="130">
                  <c:v>135.27510100000001</c:v>
                </c:pt>
                <c:pt idx="131">
                  <c:v>131.208099</c:v>
                </c:pt>
                <c:pt idx="132">
                  <c:v>135.26516699999999</c:v>
                </c:pt>
                <c:pt idx="133">
                  <c:v>136.91583299999999</c:v>
                </c:pt>
                <c:pt idx="134">
                  <c:v>138.397446</c:v>
                </c:pt>
                <c:pt idx="135">
                  <c:v>144.12506099999999</c:v>
                </c:pt>
                <c:pt idx="136">
                  <c:v>147.75453200000001</c:v>
                </c:pt>
                <c:pt idx="137">
                  <c:v>146.73033100000001</c:v>
                </c:pt>
                <c:pt idx="138">
                  <c:v>145.02995300000001</c:v>
                </c:pt>
                <c:pt idx="139">
                  <c:v>145.358093</c:v>
                </c:pt>
                <c:pt idx="140">
                  <c:v>147.51589999999999</c:v>
                </c:pt>
                <c:pt idx="141">
                  <c:v>152.48779300000001</c:v>
                </c:pt>
                <c:pt idx="142">
                  <c:v>155.03338600000001</c:v>
                </c:pt>
                <c:pt idx="143">
                  <c:v>160.46267700000001</c:v>
                </c:pt>
                <c:pt idx="144">
                  <c:v>162.00396699999999</c:v>
                </c:pt>
                <c:pt idx="145">
                  <c:v>157.21107499999999</c:v>
                </c:pt>
                <c:pt idx="146">
                  <c:v>153.25344799999999</c:v>
                </c:pt>
                <c:pt idx="147">
                  <c:v>142.633499</c:v>
                </c:pt>
                <c:pt idx="148">
                  <c:v>143.69747899999999</c:v>
                </c:pt>
                <c:pt idx="149">
                  <c:v>145.80557300000001</c:v>
                </c:pt>
                <c:pt idx="150">
                  <c:v>148.27162200000001</c:v>
                </c:pt>
                <c:pt idx="151">
                  <c:v>147.50595100000001</c:v>
                </c:pt>
                <c:pt idx="152">
                  <c:v>147.39656099999999</c:v>
                </c:pt>
                <c:pt idx="153">
                  <c:v>144.55264299999999</c:v>
                </c:pt>
                <c:pt idx="154">
                  <c:v>144.12506099999999</c:v>
                </c:pt>
                <c:pt idx="155">
                  <c:v>144.04551699999999</c:v>
                </c:pt>
                <c:pt idx="156">
                  <c:v>137.57212799999999</c:v>
                </c:pt>
                <c:pt idx="157">
                  <c:v>141.65901199999999</c:v>
                </c:pt>
                <c:pt idx="158">
                  <c:v>137.432907</c:v>
                </c:pt>
                <c:pt idx="159">
                  <c:v>142.434631</c:v>
                </c:pt>
                <c:pt idx="160">
                  <c:v>143.77702300000001</c:v>
                </c:pt>
                <c:pt idx="161">
                  <c:v>143.29972799999999</c:v>
                </c:pt>
                <c:pt idx="162">
                  <c:v>144.20462000000001</c:v>
                </c:pt>
                <c:pt idx="163">
                  <c:v>146.39224200000001</c:v>
                </c:pt>
                <c:pt idx="164">
                  <c:v>144.15489199999999</c:v>
                </c:pt>
                <c:pt idx="165">
                  <c:v>144.77140800000001</c:v>
                </c:pt>
                <c:pt idx="166">
                  <c:v>140.57513399999999</c:v>
                </c:pt>
                <c:pt idx="167">
                  <c:v>141.64906300000001</c:v>
                </c:pt>
                <c:pt idx="168">
                  <c:v>142.68322800000001</c:v>
                </c:pt>
                <c:pt idx="169">
                  <c:v>147.267303</c:v>
                </c:pt>
                <c:pt idx="170">
                  <c:v>151.07576</c:v>
                </c:pt>
                <c:pt idx="171">
                  <c:v>152.21929900000001</c:v>
                </c:pt>
                <c:pt idx="172">
                  <c:v>154.12851000000001</c:v>
                </c:pt>
                <c:pt idx="173">
                  <c:v>152.527557</c:v>
                </c:pt>
                <c:pt idx="174">
                  <c:v>153.889847</c:v>
                </c:pt>
                <c:pt idx="175">
                  <c:v>153.740692</c:v>
                </c:pt>
                <c:pt idx="176">
                  <c:v>152.86563100000001</c:v>
                </c:pt>
                <c:pt idx="177">
                  <c:v>148.58981299999999</c:v>
                </c:pt>
                <c:pt idx="178">
                  <c:v>149.91233800000001</c:v>
                </c:pt>
                <c:pt idx="179">
                  <c:v>151.155304</c:v>
                </c:pt>
                <c:pt idx="180">
                  <c:v>153.71086099999999</c:v>
                </c:pt>
                <c:pt idx="181">
                  <c:v>148.321335</c:v>
                </c:pt>
                <c:pt idx="182">
                  <c:v>148.53015099999999</c:v>
                </c:pt>
                <c:pt idx="183">
                  <c:v>147.694885</c:v>
                </c:pt>
                <c:pt idx="184">
                  <c:v>146.501633</c:v>
                </c:pt>
                <c:pt idx="185">
                  <c:v>149.972015</c:v>
                </c:pt>
                <c:pt idx="186">
                  <c:v>151.72210699999999</c:v>
                </c:pt>
                <c:pt idx="187">
                  <c:v>154.23788500000001</c:v>
                </c:pt>
                <c:pt idx="188">
                  <c:v>158.53358499999999</c:v>
                </c:pt>
                <c:pt idx="189">
                  <c:v>159.378815</c:v>
                </c:pt>
                <c:pt idx="190">
                  <c:v>159.16999799999999</c:v>
                </c:pt>
                <c:pt idx="191">
                  <c:v>158.979996</c:v>
                </c:pt>
                <c:pt idx="192">
                  <c:v>160.279999</c:v>
                </c:pt>
                <c:pt idx="193">
                  <c:v>158.759995</c:v>
                </c:pt>
                <c:pt idx="194">
                  <c:v>157.38000500000001</c:v>
                </c:pt>
                <c:pt idx="195">
                  <c:v>156.85000600000001</c:v>
                </c:pt>
                <c:pt idx="196">
                  <c:v>156.16999799999999</c:v>
                </c:pt>
                <c:pt idx="197">
                  <c:v>157.5</c:v>
                </c:pt>
                <c:pt idx="198">
                  <c:v>159.36999499999999</c:v>
                </c:pt>
                <c:pt idx="199">
                  <c:v>164.529999</c:v>
                </c:pt>
                <c:pt idx="200">
                  <c:v>165.30999800000001</c:v>
                </c:pt>
                <c:pt idx="201">
                  <c:v>165.990005</c:v>
                </c:pt>
                <c:pt idx="202">
                  <c:v>168.38000500000001</c:v>
                </c:pt>
                <c:pt idx="203">
                  <c:v>165.550003</c:v>
                </c:pt>
                <c:pt idx="204">
                  <c:v>167.970001</c:v>
                </c:pt>
                <c:pt idx="205">
                  <c:v>172.470001</c:v>
                </c:pt>
                <c:pt idx="206">
                  <c:v>166.300003</c:v>
                </c:pt>
                <c:pt idx="207">
                  <c:v>166.69000199999999</c:v>
                </c:pt>
                <c:pt idx="208">
                  <c:v>164.270004</c:v>
                </c:pt>
                <c:pt idx="209">
                  <c:v>165.75</c:v>
                </c:pt>
                <c:pt idx="210">
                  <c:v>164.270004</c:v>
                </c:pt>
                <c:pt idx="211">
                  <c:v>166.449997</c:v>
                </c:pt>
                <c:pt idx="212">
                  <c:v>168.470001</c:v>
                </c:pt>
                <c:pt idx="213">
                  <c:v>168.300003</c:v>
                </c:pt>
                <c:pt idx="214">
                  <c:v>170</c:v>
                </c:pt>
                <c:pt idx="215">
                  <c:v>170.33999600000001</c:v>
                </c:pt>
                <c:pt idx="216">
                  <c:v>168.699997</c:v>
                </c:pt>
                <c:pt idx="217">
                  <c:v>161.36999499999999</c:v>
                </c:pt>
                <c:pt idx="218">
                  <c:v>162.679993</c:v>
                </c:pt>
                <c:pt idx="219">
                  <c:v>158.78999300000001</c:v>
                </c:pt>
                <c:pt idx="220">
                  <c:v>158.759995</c:v>
                </c:pt>
                <c:pt idx="221">
                  <c:v>161.490005</c:v>
                </c:pt>
                <c:pt idx="222">
                  <c:v>164.63999899999999</c:v>
                </c:pt>
                <c:pt idx="223">
                  <c:v>164.509995</c:v>
                </c:pt>
                <c:pt idx="224">
                  <c:v>164.61000100000001</c:v>
                </c:pt>
                <c:pt idx="225">
                  <c:v>163.679993</c:v>
                </c:pt>
                <c:pt idx="226">
                  <c:v>165.61000100000001</c:v>
                </c:pt>
                <c:pt idx="227">
                  <c:v>168.720001</c:v>
                </c:pt>
                <c:pt idx="228">
                  <c:v>166.88999899999999</c:v>
                </c:pt>
                <c:pt idx="229">
                  <c:v>171.550003</c:v>
                </c:pt>
                <c:pt idx="230">
                  <c:v>173.779999</c:v>
                </c:pt>
                <c:pt idx="231">
                  <c:v>174.38000500000001</c:v>
                </c:pt>
                <c:pt idx="232">
                  <c:v>175.36000100000001</c:v>
                </c:pt>
                <c:pt idx="233">
                  <c:v>171.550003</c:v>
                </c:pt>
                <c:pt idx="234">
                  <c:v>173.470001</c:v>
                </c:pt>
                <c:pt idx="235">
                  <c:v>172.61000100000001</c:v>
                </c:pt>
                <c:pt idx="236">
                  <c:v>174.86000100000001</c:v>
                </c:pt>
                <c:pt idx="237">
                  <c:v>171.58999600000001</c:v>
                </c:pt>
                <c:pt idx="238">
                  <c:v>173.259995</c:v>
                </c:pt>
                <c:pt idx="239">
                  <c:v>172.86999499999999</c:v>
                </c:pt>
                <c:pt idx="240">
                  <c:v>176.85000600000001</c:v>
                </c:pt>
                <c:pt idx="241">
                  <c:v>175.53999300000001</c:v>
                </c:pt>
                <c:pt idx="242">
                  <c:v>170.16999799999999</c:v>
                </c:pt>
                <c:pt idx="243">
                  <c:v>166.75</c:v>
                </c:pt>
                <c:pt idx="244">
                  <c:v>161.16000399999999</c:v>
                </c:pt>
                <c:pt idx="245">
                  <c:v>164.60000600000001</c:v>
                </c:pt>
                <c:pt idx="246">
                  <c:v>164.949997</c:v>
                </c:pt>
                <c:pt idx="247">
                  <c:v>173.61000100000001</c:v>
                </c:pt>
                <c:pt idx="248">
                  <c:v>179.21000699999999</c:v>
                </c:pt>
                <c:pt idx="249">
                  <c:v>178.91000399999999</c:v>
                </c:pt>
                <c:pt idx="250">
                  <c:v>183.279999</c:v>
                </c:pt>
                <c:pt idx="251">
                  <c:v>184.270004</c:v>
                </c:pt>
              </c:numCache>
            </c:numRef>
          </c:val>
          <c:smooth val="0"/>
          <c:extLst>
            <c:ext xmlns:c16="http://schemas.microsoft.com/office/drawing/2014/chart" uri="{C3380CC4-5D6E-409C-BE32-E72D297353CC}">
              <c16:uniqueId val="{00000001-A76D-464A-A711-32B566D33EA9}"/>
            </c:ext>
          </c:extLst>
        </c:ser>
        <c:dLbls>
          <c:showLegendKey val="0"/>
          <c:showVal val="0"/>
          <c:showCatName val="0"/>
          <c:showSerName val="0"/>
          <c:showPercent val="0"/>
          <c:showBubbleSize val="0"/>
        </c:dLbls>
        <c:smooth val="0"/>
        <c:axId val="1416475423"/>
        <c:axId val="1054523647"/>
      </c:lineChart>
      <c:dateAx>
        <c:axId val="1416475423"/>
        <c:scaling>
          <c:orientation val="minMax"/>
        </c:scaling>
        <c:delete val="0"/>
        <c:axPos val="b"/>
        <c:numFmt formatCode="m/d/yy"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54523647"/>
        <c:crosses val="autoZero"/>
        <c:auto val="1"/>
        <c:lblOffset val="100"/>
        <c:baseTimeUnit val="days"/>
      </c:dateAx>
      <c:valAx>
        <c:axId val="105452364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1647542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CC679-61DF-114C-AAAF-2CCC3AD56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11</Pages>
  <Words>2698</Words>
  <Characters>15380</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Sanchi Gupta</dc:creator>
  <cp:keywords/>
  <dc:description/>
  <cp:lastModifiedBy>Sanchi Gupta</cp:lastModifiedBy>
  <cp:revision>27</cp:revision>
  <dcterms:created xsi:type="dcterms:W3CDTF">2023-09-24T17:39:00Z</dcterms:created>
  <dcterms:modified xsi:type="dcterms:W3CDTF">2024-03-13T02:15:00Z</dcterms:modified>
</cp:coreProperties>
</file>