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1F4E79"/>
          <w:sz w:val="64"/>
          <w:szCs w:val="64"/>
        </w:rPr>
        <w:t xml:space="preserve">SynaptaEMR AI</w:t>
      </w:r>
    </w:p>
    <w:p>
      <w:pPr>
        <w:spacing w:after="120" w:before="0"/>
        <w:jc w:val="center"/>
      </w:pPr>
      <w:r>
        <w:rPr>
          <w:rFonts w:ascii="Arial" w:cs="Arial" w:eastAsia="Arial" w:hAnsi="Arial"/>
          <w:b/>
          <w:bCs/>
          <w:color w:val="2E75B6"/>
          <w:sz w:val="44"/>
          <w:szCs w:val="44"/>
        </w:rPr>
        <w:t xml:space="preserve">Agentic AI Architecture</w:t>
      </w:r>
    </w:p>
    <w:p>
      <w:pPr>
        <w:spacing w:after="480" w:before="0"/>
        <w:jc w:val="center"/>
      </w:pPr>
      <w:r>
        <w:rPr>
          <w:rFonts w:ascii="Arial" w:cs="Arial" w:eastAsia="Arial" w:hAnsi="Arial"/>
          <w:color w:val="555555"/>
          <w:sz w:val="28"/>
          <w:szCs w:val="28"/>
        </w:rPr>
        <w:t xml:space="preserve">Feasibility, Rationale &amp; Conversion Roadmap</w:t>
      </w:r>
    </w:p>
    <w:p>
      <w:pPr>
        <w:spacing w:after="160" w:before="0"/>
      </w:pPr>
      <w:r>
        <w:t xml:space="preserve"/>
      </w:r>
    </w:p>
    <w:p>
      <w:pPr>
        <w:spacing w:after="80" w:before="0"/>
        <w:jc w:val="center"/>
      </w:pPr>
      <w:r>
        <w:rPr>
          <w:rFonts w:ascii="Arial" w:cs="Arial" w:eastAsia="Arial" w:hAnsi="Arial"/>
          <w:color w:val="444444"/>
          <w:sz w:val="20"/>
          <w:szCs w:val="20"/>
        </w:rPr>
        <w:t xml:space="preserve">Prepared for: Sanchit Ashtekar</w:t>
      </w:r>
    </w:p>
    <w:p>
      <w:pPr>
        <w:spacing w:after="80" w:before="0"/>
        <w:jc w:val="center"/>
      </w:pPr>
      <w:r>
        <w:rPr>
          <w:rFonts w:ascii="Arial" w:cs="Arial" w:eastAsia="Arial" w:hAnsi="Arial"/>
          <w:color w:val="444444"/>
          <w:sz w:val="20"/>
          <w:szCs w:val="20"/>
        </w:rPr>
        <w:t xml:space="preserve">HealthChain  |  June 2026</w:t>
      </w:r>
    </w:p>
    <w:p>
      <w:pPr>
        <w:jc w:val="center"/>
      </w:pPr>
      <w:r>
        <w:rPr>
          <w:rFonts w:ascii="Arial" w:cs="Arial" w:eastAsia="Arial" w:hAnsi="Arial"/>
          <w:b/>
          <w:bCs/>
          <w:color w:val="2E75B6"/>
          <w:sz w:val="18"/>
          <w:szCs w:val="18"/>
        </w:rPr>
        <w:t xml:space="preserve">INTERNAL TECHNICAL DOCUMENT</w:t>
      </w:r>
    </w:p>
    <w:p>
      <w:r>
        <w:br w:type="page"/>
      </w:r>
    </w:p>
    <w:p>
      <w:pPr>
        <w:pStyle w:val="Heading1"/>
        <w:pBdr>
          <w:bottom w:val="single" w:color="2E75B6" w:sz="6" w:space="4"/>
        </w:pBdr>
        <w:spacing w:after="160" w:before="320"/>
      </w:pPr>
      <w:r>
        <w:rPr>
          <w:rFonts w:ascii="Arial" w:cs="Arial" w:eastAsia="Arial" w:hAnsi="Arial"/>
          <w:b/>
          <w:bCs/>
          <w:color w:val="1F4E79"/>
          <w:sz w:val="36"/>
          <w:szCs w:val="36"/>
        </w:rPr>
        <w:t xml:space="preserve">1. Executive Summary</w:t>
      </w:r>
    </w:p>
    <w:p>
      <w:pPr>
        <w:spacing w:after="80" w:before="80"/>
      </w:pPr>
      <w:r>
        <w:rPr>
          <w:rFonts w:ascii="Arial" w:cs="Arial" w:eastAsia="Arial" w:hAnsi="Arial"/>
          <w:b w:val="false"/>
          <w:bCs w:val="false"/>
          <w:color w:val="1A1A1A"/>
          <w:sz w:val="20"/>
          <w:szCs w:val="20"/>
        </w:rPr>
        <w:t xml:space="preserve">SynaptaEMR AI currently operates as a high-quality pipeline AI system: each API endpoint runs a fixed, predetermined sequence of steps to produce its output. This document explains what agentic AI is, why it represents a meaningful upgrade for a clinical system of this complexity, and provides a concrete feasibility assessment and conversion roadmap.</w:t>
      </w:r>
    </w:p>
    <w:p>
      <w:pPr>
        <w:spacing w:after="160" w:before="0"/>
      </w:pPr>
      <w:r>
        <w:t xml:space="preserve"/>
      </w:r>
    </w:p>
    <w:tbl>
      <w:tblPr>
        <w:tblW w:type="dxa" w:w="9360"/>
        <w:tblBorders>
          <w:top w:val="single" w:color="2E75B6" w:sz="8"/>
          <w:left w:val="single" w:color="2E75B6" w:sz="20"/>
          <w:bottom w:val="single" w:color="2E75B6" w:sz="2"/>
          <w:right w:val="single" w:color="2E75B6" w:sz="2"/>
          <w:insideH w:val="single" w:color="auto" w:sz="4"/>
          <w:insideV w:val="single" w:color="auto" w:sz="4"/>
        </w:tblBorders>
      </w:tblPr>
      <w:tblGrid>
        <w:gridCol w:w="9360"/>
      </w:tblGrid>
      <w:tr>
        <w:tc>
          <w:tcPr>
            <w:tcW w:type="dxa" w:w="9360"/>
            <w:tcBorders>
              <w:top w:val="none"/>
              <w:left w:val="none"/>
              <w:bottom w:val="none"/>
              <w:right w:val="none"/>
            </w:tcBorders>
            <w:shd w:fill="D6E4F0" w:val="clear"/>
            <w:tcMar>
              <w:top w:type="dxa" w:w="120"/>
              <w:left w:type="dxa" w:w="200"/>
              <w:bottom w:type="dxa" w:w="120"/>
              <w:right w:type="dxa" w:w="200"/>
            </w:tcMar>
          </w:tcPr>
          <w:p>
            <w:r>
              <w:rPr>
                <w:rFonts w:ascii="Arial" w:cs="Arial" w:eastAsia="Arial" w:hAnsi="Arial"/>
                <w:color w:val="1F4E79"/>
                <w:sz w:val="20"/>
                <w:szCs w:val="20"/>
              </w:rPr>
              <w:t xml:space="preserve">Bottom line: Converting SynaptaEMR AI to an agentic architecture is highly feasible. The OpenAI Agents SDK is already installed, all service functions are well-isolated, and the Pydantic schemas are clean. The three hardest prerequisites are already met. Conversion is additive, not a rewrite.</w:t>
            </w:r>
          </w:p>
        </w:tc>
      </w:tr>
    </w:tbl>
    <w:p>
      <w:pPr>
        <w:spacing w:after="160" w:before="0"/>
      </w:pPr>
      <w:r>
        <w:t xml:space="preserve"/>
      </w:r>
    </w:p>
    <w:p>
      <w:pPr>
        <w:pStyle w:val="Heading1"/>
        <w:pBdr>
          <w:bottom w:val="single" w:color="2E75B6" w:sz="6" w:space="4"/>
        </w:pBdr>
        <w:spacing w:after="160" w:before="320"/>
      </w:pPr>
      <w:r>
        <w:rPr>
          <w:rFonts w:ascii="Arial" w:cs="Arial" w:eastAsia="Arial" w:hAnsi="Arial"/>
          <w:b/>
          <w:bCs/>
          <w:color w:val="1F4E79"/>
          <w:sz w:val="36"/>
          <w:szCs w:val="36"/>
        </w:rPr>
        <w:t xml:space="preserve">2. What is Agentic AI?</w:t>
      </w:r>
    </w:p>
    <w:p>
      <w:pPr>
        <w:spacing w:after="80" w:before="80"/>
      </w:pPr>
      <w:r>
        <w:rPr>
          <w:rFonts w:ascii="Arial" w:cs="Arial" w:eastAsia="Arial" w:hAnsi="Arial"/>
          <w:b w:val="false"/>
          <w:bCs w:val="false"/>
          <w:color w:val="1A1A1A"/>
          <w:sz w:val="20"/>
          <w:szCs w:val="20"/>
        </w:rPr>
        <w:t xml:space="preserve">The term "agentic" describes an AI system where the language model does not just answer a single question. It autonomously plans and executes a multi-step workflow, choosing which tools to call, in what order, and deciding when it has enough information to produce a final answer.</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2.1  Pipeline AI vs. Agentic AI</w:t>
      </w:r>
    </w:p>
    <w:p>
      <w:pPr>
        <w:spacing w:after="80" w:before="80"/>
      </w:pPr>
      <w:r>
        <w:rPr>
          <w:rFonts w:ascii="Arial" w:cs="Arial" w:eastAsia="Arial" w:hAnsi="Arial"/>
          <w:b w:val="false"/>
          <w:bCs w:val="false"/>
          <w:color w:val="1A1A1A"/>
          <w:sz w:val="20"/>
          <w:szCs w:val="20"/>
        </w:rPr>
        <w:t xml:space="preserve">The distinction is most clearly seen through a comparison: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Pipeline AI (current)</w:t>
            </w:r>
          </w:p>
        </w:tc>
        <w:tc>
          <w:tcPr>
            <w:tcW w:type="dxa" w:w="35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Agentic AI (proposed)</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Decision-maker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Python code — hardcoded sequence</w:t>
            </w:r>
          </w:p>
        </w:tc>
        <w:tc>
          <w:tcPr>
            <w:tcW w:type="dxa" w:w="358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The LLM — decides each step dynamically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Tool use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Fixed: always calls the same functions in the same order</w:t>
            </w:r>
          </w:p>
        </w:tc>
        <w:tc>
          <w:tcPr>
            <w:tcW w:type="dxa" w:w="358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Selective: calls only the tools relevant to this specific case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Error recovery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Falls back to a hardcoded error dict</w:t>
            </w:r>
          </w:p>
        </w:tc>
        <w:tc>
          <w:tcPr>
            <w:tcW w:type="dxa" w:w="358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Retries with alternate strategy (e.g. different drug name spelling)</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Adding new capability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Requires new code + new endpoint</w:t>
            </w:r>
          </w:p>
        </w:tc>
        <w:tc>
          <w:tcPr>
            <w:tcW w:type="dxa" w:w="358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Register a new tool — agent uses it when relevant</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Multi-step reasoning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Not possible — no feedback loop</w:t>
            </w:r>
          </w:p>
        </w:tc>
        <w:tc>
          <w:tcPr>
            <w:tcW w:type="dxa" w:w="358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Agent reflects on intermediate results before next step</w:t>
            </w:r>
          </w:p>
        </w:tc>
      </w:tr>
    </w:tbl>
    <w:p>
      <w:pPr>
        <w:spacing w:after="160" w:before="0"/>
      </w:pPr>
      <w:r>
        <w:t xml:space="preserve"/>
      </w:r>
    </w:p>
    <w:p>
      <w:pPr>
        <w:pStyle w:val="Heading2"/>
        <w:spacing w:after="120" w:before="240"/>
      </w:pPr>
      <w:r>
        <w:rPr>
          <w:rFonts w:ascii="Arial" w:cs="Arial" w:eastAsia="Arial" w:hAnsi="Arial"/>
          <w:b/>
          <w:bCs/>
          <w:color w:val="2E75B6"/>
          <w:sz w:val="28"/>
          <w:szCs w:val="28"/>
        </w:rPr>
        <w:t xml:space="preserve">2.2  The Core Concept: Tools</w:t>
      </w:r>
    </w:p>
    <w:p>
      <w:pPr>
        <w:spacing w:after="80" w:before="80"/>
      </w:pPr>
      <w:r>
        <w:rPr>
          <w:rFonts w:ascii="Arial" w:cs="Arial" w:eastAsia="Arial" w:hAnsi="Arial"/>
          <w:b w:val="false"/>
          <w:bCs w:val="false"/>
          <w:color w:val="1A1A1A"/>
          <w:sz w:val="20"/>
          <w:szCs w:val="20"/>
        </w:rPr>
        <w:t xml:space="preserve">In an agentic system, existing functions are exposed to the LLM as tools. The LLM reads the tool descriptions, decides which ones to call based on the current situation, inspects the results, and decides what to do next. This loop continues until the agent has enough information to produce a final answer.</w:t>
      </w:r>
    </w:p>
    <w:p>
      <w:pPr>
        <w:spacing w:after="160" w:before="0"/>
      </w:pPr>
      <w:r>
        <w:t xml:space="preserve"/>
      </w:r>
    </w:p>
    <w:p>
      <w:pPr>
        <w:spacing w:after="80" w:before="80"/>
      </w:pPr>
      <w:r>
        <w:rPr>
          <w:rFonts w:ascii="Arial" w:cs="Arial" w:eastAsia="Arial" w:hAnsi="Arial"/>
          <w:b w:val="false"/>
          <w:bCs w:val="false"/>
          <w:color w:val="1A1A1A"/>
          <w:sz w:val="20"/>
          <w:szCs w:val="20"/>
        </w:rPr>
        <w:t xml:space="preserve">In SynaptaEMR AI, your existing service functions become tools: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Existing Function</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File</w:t>
            </w:r>
          </w:p>
        </w:tc>
        <w:tc>
          <w:tcPr>
            <w:tcW w:type="dxa" w:w="3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Becomes Agent Tool</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resolve_rxcui()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rxnav_service.py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resolve_drug_to_rxcui</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get_interactions()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rxnav_service.py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check_known_interactions</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get_fda_label_warnings()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rxnav_service.py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get_fda_warnings</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analyze_vital_trends()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vitalTrendsService.py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analyze_vitals</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generate_patient_summary()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patientSummaryService.py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summarize_patient</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mask_phi()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presidio_service.py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redact_phi</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transcribe_audio()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soapAudio.py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transcribe_encounter</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generate_soap()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soapAI.py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write_soap_note</w:t>
            </w:r>
          </w:p>
        </w:tc>
      </w:tr>
    </w:tbl>
    <w:p>
      <w:pPr>
        <w:spacing w:after="160" w:before="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6"/>
          <w:szCs w:val="36"/>
        </w:rPr>
        <w:t xml:space="preserve">3. Current Architecture: Where the Pipeline Falls Short</w:t>
      </w:r>
    </w:p>
    <w:p>
      <w:pPr>
        <w:spacing w:after="80" w:before="80"/>
      </w:pPr>
      <w:r>
        <w:rPr>
          <w:rFonts w:ascii="Arial" w:cs="Arial" w:eastAsia="Arial" w:hAnsi="Arial"/>
          <w:b w:val="false"/>
          <w:bCs w:val="false"/>
          <w:color w:val="1A1A1A"/>
          <w:sz w:val="20"/>
          <w:szCs w:val="20"/>
        </w:rPr>
        <w:t xml:space="preserve">SynaptaEMR AI is a well-built system. The issues below are not bugs. They are the natural limitations of a pipeline design, which only become apparent as clinical complexity grows.</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3.1  Fixed Execution Regardless of Clinical Context</w:t>
      </w:r>
    </w:p>
    <w:p>
      <w:pPr>
        <w:spacing w:after="80" w:before="80"/>
      </w:pPr>
      <w:r>
        <w:rPr>
          <w:rFonts w:ascii="Arial" w:cs="Arial" w:eastAsia="Arial" w:hAnsi="Arial"/>
          <w:b w:val="false"/>
          <w:bCs w:val="false"/>
          <w:color w:val="1A1A1A"/>
          <w:sz w:val="20"/>
          <w:szCs w:val="20"/>
        </w:rPr>
        <w:t xml:space="preserve">Every call to /generate_soap runs the full pipeline: PHI masking &gt; SOAP generation &gt; drug interaction check &gt; clinical extraction. There is no mechanism to skip unnecessary steps or add situation-specific ones.</w:t>
      </w:r>
    </w:p>
    <w:p>
      <w:pPr>
        <w:spacing w:after="160" w:before="0"/>
      </w:pPr>
      <w:r>
        <w:t xml:space="preserve"/>
      </w:r>
    </w:p>
    <w:tbl>
      <w:tblPr>
        <w:tblW w:type="dxa" w:w="9360"/>
        <w:tblBorders>
          <w:top w:val="single" w:color="843C0C" w:sz="8"/>
          <w:left w:val="single" w:color="843C0C" w:sz="20"/>
          <w:bottom w:val="single" w:color="843C0C" w:sz="2"/>
          <w:right w:val="single" w:color="843C0C" w:sz="2"/>
          <w:insideH w:val="single" w:color="auto" w:sz="4"/>
          <w:insideV w:val="single" w:color="auto" w:sz="4"/>
        </w:tblBorders>
      </w:tblPr>
      <w:tblGrid>
        <w:gridCol w:w="9360"/>
      </w:tblGrid>
      <w:tr>
        <w:tc>
          <w:tcPr>
            <w:tcW w:type="dxa" w:w="9360"/>
            <w:tcBorders>
              <w:top w:val="none"/>
              <w:left w:val="none"/>
              <w:bottom w:val="none"/>
              <w:right w:val="none"/>
            </w:tcBorders>
            <w:shd w:fill="FCE4D6" w:val="clear"/>
            <w:tcMar>
              <w:top w:type="dxa" w:w="120"/>
              <w:left w:type="dxa" w:w="200"/>
              <w:bottom w:type="dxa" w:w="120"/>
              <w:right w:type="dxa" w:w="200"/>
            </w:tcMar>
          </w:tcPr>
          <w:p>
            <w:r>
              <w:rPr>
                <w:rFonts w:ascii="Arial" w:cs="Arial" w:eastAsia="Arial" w:hAnsi="Arial"/>
                <w:color w:val="843C0C"/>
                <w:sz w:val="20"/>
                <w:szCs w:val="20"/>
              </w:rPr>
              <w:t xml:space="preserve">Example: A follow-up visit for a stable chronic condition with no medication changes still triggers a full drug interaction check. Meanwhile, a patient with 8 active comorbidities and complex polypharmacy gets the same fixed pipeline as a routine check-up.</w:t>
            </w:r>
          </w:p>
        </w:tc>
      </w:tr>
    </w:tbl>
    <w:p>
      <w:pPr>
        <w:spacing w:after="160" w:before="0"/>
      </w:pPr>
      <w:r>
        <w:t xml:space="preserve"/>
      </w:r>
    </w:p>
    <w:p>
      <w:pPr>
        <w:pStyle w:val="Heading2"/>
        <w:spacing w:after="120" w:before="240"/>
      </w:pPr>
      <w:r>
        <w:rPr>
          <w:rFonts w:ascii="Arial" w:cs="Arial" w:eastAsia="Arial" w:hAnsi="Arial"/>
          <w:b/>
          <w:bCs/>
          <w:color w:val="2E75B6"/>
          <w:sz w:val="28"/>
          <w:szCs w:val="28"/>
        </w:rPr>
        <w:t xml:space="preserve">3.2  No Recovery from Partial Failures</w:t>
      </w:r>
    </w:p>
    <w:p>
      <w:pPr>
        <w:spacing w:after="80" w:before="80"/>
      </w:pPr>
      <w:r>
        <w:rPr>
          <w:rFonts w:ascii="Arial" w:cs="Arial" w:eastAsia="Arial" w:hAnsi="Arial"/>
          <w:b w:val="false"/>
          <w:bCs w:val="false"/>
          <w:color w:val="1A1A1A"/>
          <w:sz w:val="20"/>
          <w:szCs w:val="20"/>
        </w:rPr>
        <w:t xml:space="preserve">In rxnav_service.py, if a drug name fails RxCUI resolution, the code marks it unresolved and moves on. There is no attempt to retry with a normalized name, brand-name equivalent, or broader search. The pipeline cannot reason about failures and adapt.</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3.3  Capability Expansion Requires Code Changes</w:t>
      </w:r>
    </w:p>
    <w:p>
      <w:pPr>
        <w:spacing w:after="80" w:before="80"/>
      </w:pPr>
      <w:r>
        <w:rPr>
          <w:rFonts w:ascii="Arial" w:cs="Arial" w:eastAsia="Arial" w:hAnsi="Arial"/>
          <w:b w:val="false"/>
          <w:bCs w:val="false"/>
          <w:color w:val="1A1A1A"/>
          <w:sz w:val="20"/>
          <w:szCs w:val="20"/>
        </w:rPr>
        <w:t xml:space="preserve">Adding a new clinical check requires writing a new service, adding a new endpoint, and modifying the main pipeline. In an agentic system, you register a new tool and the agent begins using it autonomously when relevant.</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3.4  No Cross-Service Reasoning</w:t>
      </w:r>
    </w:p>
    <w:p>
      <w:pPr>
        <w:spacing w:after="80" w:before="80"/>
      </w:pPr>
      <w:r>
        <w:rPr>
          <w:rFonts w:ascii="Arial" w:cs="Arial" w:eastAsia="Arial" w:hAnsi="Arial"/>
          <w:b w:val="false"/>
          <w:bCs w:val="false"/>
          <w:color w:val="1A1A1A"/>
          <w:sz w:val="20"/>
          <w:szCs w:val="20"/>
        </w:rPr>
        <w:t xml:space="preserve">The vital trends service and the drug interaction service run independently and never share context. A patient with rising creatinine AND a newly prescribed nephrotoxic drug is a critical clinical pattern — but the current architecture cannot surface this because the two services never communicate.</w:t>
      </w:r>
    </w:p>
    <w:p>
      <w:pPr>
        <w:spacing w:after="160" w:before="0"/>
      </w:pPr>
      <w:r>
        <w:t xml:space="preserve"/>
      </w:r>
    </w:p>
    <w:tbl>
      <w:tblPr>
        <w:tblW w:type="dxa" w:w="9360"/>
        <w:tblBorders>
          <w:top w:val="single" w:color="2E75B6" w:sz="8"/>
          <w:left w:val="single" w:color="2E75B6" w:sz="20"/>
          <w:bottom w:val="single" w:color="2E75B6" w:sz="2"/>
          <w:right w:val="single" w:color="2E75B6" w:sz="2"/>
          <w:insideH w:val="single" w:color="auto" w:sz="4"/>
          <w:insideV w:val="single" w:color="auto" w:sz="4"/>
        </w:tblBorders>
      </w:tblPr>
      <w:tblGrid>
        <w:gridCol w:w="9360"/>
      </w:tblGrid>
      <w:tr>
        <w:tc>
          <w:tcPr>
            <w:tcW w:type="dxa" w:w="9360"/>
            <w:tcBorders>
              <w:top w:val="none"/>
              <w:left w:val="none"/>
              <w:bottom w:val="none"/>
              <w:right w:val="none"/>
            </w:tcBorders>
            <w:shd w:fill="D6E4F0" w:val="clear"/>
            <w:tcMar>
              <w:top w:type="dxa" w:w="120"/>
              <w:left w:type="dxa" w:w="200"/>
              <w:bottom w:type="dxa" w:w="120"/>
              <w:right w:type="dxa" w:w="200"/>
            </w:tcMar>
          </w:tcPr>
          <w:p>
            <w:r>
              <w:rPr>
                <w:rFonts w:ascii="Arial" w:cs="Arial" w:eastAsia="Arial" w:hAnsi="Arial"/>
                <w:color w:val="1F4E79"/>
                <w:sz w:val="20"/>
                <w:szCs w:val="20"/>
              </w:rPr>
              <w:t xml:space="preserve">An agentic orchestrator with both tools registered could identify: "Creatinine is trending up (vital trends tool) AND gentamicin was just prescribed (drug interaction tool) — I should flag nephrotoxicity risk." This cross-domain reasoning is impossible in a pipeline.</w:t>
            </w:r>
          </w:p>
        </w:tc>
      </w:tr>
    </w:tbl>
    <w:p>
      <w:pPr>
        <w:spacing w:after="160" w:before="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6"/>
          <w:szCs w:val="36"/>
        </w:rPr>
        <w:t xml:space="preserve">4. Why Agentic AI is Better for SynaptaEMR</w:t>
      </w:r>
    </w:p>
    <w:p>
      <w:pPr>
        <w:pStyle w:val="Heading2"/>
        <w:spacing w:after="120" w:before="240"/>
      </w:pPr>
      <w:r>
        <w:rPr>
          <w:rFonts w:ascii="Arial" w:cs="Arial" w:eastAsia="Arial" w:hAnsi="Arial"/>
          <w:b/>
          <w:bCs/>
          <w:color w:val="2E75B6"/>
          <w:sz w:val="28"/>
          <w:szCs w:val="28"/>
        </w:rPr>
        <w:t xml:space="preserve">4.1  Situation-Aware Clinical Workflows</w:t>
      </w:r>
    </w:p>
    <w:p>
      <w:pPr>
        <w:spacing w:after="80" w:before="80"/>
      </w:pPr>
      <w:r>
        <w:rPr>
          <w:rFonts w:ascii="Arial" w:cs="Arial" w:eastAsia="Arial" w:hAnsi="Arial"/>
          <w:b w:val="false"/>
          <w:bCs w:val="false"/>
          <w:color w:val="1A1A1A"/>
          <w:sz w:val="20"/>
          <w:szCs w:val="20"/>
        </w:rPr>
        <w:t xml:space="preserve">An agentic clinical encounter orchestrator receives the full patient context and decides what to do. For a patient presenting with chest pain, the agent would:</w:t>
      </w:r>
    </w:p>
    <w:p>
      <w:pPr>
        <w:pStyle w:val="ListParagraph"/>
        <w:numPr>
          <w:ilvl w:val="0"/>
          <w:numId w:val="2"/>
        </w:numPr>
        <w:spacing w:after="60" w:before="60"/>
      </w:pPr>
      <w:r>
        <w:rPr>
          <w:rFonts w:ascii="Arial" w:cs="Arial" w:eastAsia="Arial" w:hAnsi="Arial"/>
          <w:color w:val="1A1A1A"/>
          <w:sz w:val="20"/>
          <w:szCs w:val="20"/>
        </w:rPr>
        <w:t xml:space="preserve">Call transcribe_encounter (if audio is present)</w:t>
      </w:r>
    </w:p>
    <w:p>
      <w:pPr>
        <w:pStyle w:val="ListParagraph"/>
        <w:numPr>
          <w:ilvl w:val="0"/>
          <w:numId w:val="2"/>
        </w:numPr>
        <w:spacing w:after="60" w:before="60"/>
      </w:pPr>
      <w:r>
        <w:rPr>
          <w:rFonts w:ascii="Arial" w:cs="Arial" w:eastAsia="Arial" w:hAnsi="Arial"/>
          <w:color w:val="1A1A1A"/>
          <w:sz w:val="20"/>
          <w:szCs w:val="20"/>
        </w:rPr>
        <w:t xml:space="preserve">Call redact_phi on the transcript</w:t>
      </w:r>
    </w:p>
    <w:p>
      <w:pPr>
        <w:pStyle w:val="ListParagraph"/>
        <w:numPr>
          <w:ilvl w:val="0"/>
          <w:numId w:val="2"/>
        </w:numPr>
        <w:spacing w:after="60" w:before="60"/>
      </w:pPr>
      <w:r>
        <w:rPr>
          <w:rFonts w:ascii="Arial" w:cs="Arial" w:eastAsia="Arial" w:hAnsi="Arial"/>
          <w:color w:val="1A1A1A"/>
          <w:sz w:val="20"/>
          <w:szCs w:val="20"/>
        </w:rPr>
        <w:t xml:space="preserve">Call analyze_vitals and notice the elevated BP and tachycardia</w:t>
      </w:r>
    </w:p>
    <w:p>
      <w:pPr>
        <w:pStyle w:val="ListParagraph"/>
        <w:numPr>
          <w:ilvl w:val="0"/>
          <w:numId w:val="2"/>
        </w:numPr>
        <w:spacing w:after="60" w:before="60"/>
      </w:pPr>
      <w:r>
        <w:rPr>
          <w:rFonts w:ascii="Arial" w:cs="Arial" w:eastAsia="Arial" w:hAnsi="Arial"/>
          <w:color w:val="1A1A1A"/>
          <w:sz w:val="20"/>
          <w:szCs w:val="20"/>
        </w:rPr>
        <w:t xml:space="preserve">Call check_known_interactions and flag the aspirin + anticoagulant combination</w:t>
      </w:r>
    </w:p>
    <w:p>
      <w:pPr>
        <w:pStyle w:val="ListParagraph"/>
        <w:numPr>
          <w:ilvl w:val="0"/>
          <w:numId w:val="2"/>
        </w:numPr>
        <w:spacing w:after="60" w:before="60"/>
      </w:pPr>
      <w:r>
        <w:rPr>
          <w:rFonts w:ascii="Arial" w:cs="Arial" w:eastAsia="Arial" w:hAnsi="Arial"/>
          <w:color w:val="1A1A1A"/>
          <w:sz w:val="20"/>
          <w:szCs w:val="20"/>
        </w:rPr>
        <w:t xml:space="preserve">Write a SOAP note that leads with the cardiovascular risk</w:t>
      </w:r>
    </w:p>
    <w:p>
      <w:pPr>
        <w:spacing w:after="160" w:before="0"/>
      </w:pPr>
      <w:r>
        <w:t xml:space="preserve"/>
      </w:r>
    </w:p>
    <w:p>
      <w:pPr>
        <w:spacing w:after="80" w:before="80"/>
      </w:pPr>
      <w:r>
        <w:rPr>
          <w:rFonts w:ascii="Arial" w:cs="Arial" w:eastAsia="Arial" w:hAnsi="Arial"/>
          <w:b w:val="false"/>
          <w:bCs w:val="false"/>
          <w:color w:val="1A1A1A"/>
          <w:sz w:val="20"/>
          <w:szCs w:val="20"/>
        </w:rPr>
        <w:t xml:space="preserve">For a routine annual physical with stable vitals and no medication changes, the same agent would skip the drug interaction check entirely — saving latency and API cost.</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4.2  Self-Correcting Drug Resolution</w:t>
      </w:r>
    </w:p>
    <w:p>
      <w:pPr>
        <w:spacing w:after="80" w:before="80"/>
      </w:pPr>
      <w:r>
        <w:rPr>
          <w:rFonts w:ascii="Arial" w:cs="Arial" w:eastAsia="Arial" w:hAnsi="Arial"/>
          <w:b w:val="false"/>
          <w:bCs w:val="false"/>
          <w:color w:val="1A1A1A"/>
          <w:sz w:val="20"/>
          <w:szCs w:val="20"/>
        </w:rPr>
        <w:t xml:space="preserve">Today, if "Tylenol" fails RxCUI lookup it is logged and skipped. An agentic drug safety agent would instead:</w:t>
      </w:r>
    </w:p>
    <w:p>
      <w:pPr>
        <w:pStyle w:val="ListParagraph"/>
        <w:numPr>
          <w:ilvl w:val="0"/>
          <w:numId w:val="3"/>
        </w:numPr>
        <w:spacing w:after="60" w:before="60"/>
      </w:pPr>
      <w:r>
        <w:rPr>
          <w:rFonts w:ascii="Arial" w:cs="Arial" w:eastAsia="Arial" w:hAnsi="Arial"/>
          <w:color w:val="1A1A1A"/>
          <w:sz w:val="20"/>
          <w:szCs w:val="20"/>
        </w:rPr>
        <w:t xml:space="preserve">Attempt resolve_drug_to_rxcui("Tylenol") and get NOT_FOUND</w:t>
      </w:r>
    </w:p>
    <w:p>
      <w:pPr>
        <w:pStyle w:val="ListParagraph"/>
        <w:numPr>
          <w:ilvl w:val="0"/>
          <w:numId w:val="3"/>
        </w:numPr>
        <w:spacing w:after="60" w:before="60"/>
      </w:pPr>
      <w:r>
        <w:rPr>
          <w:rFonts w:ascii="Arial" w:cs="Arial" w:eastAsia="Arial" w:hAnsi="Arial"/>
          <w:color w:val="1A1A1A"/>
          <w:sz w:val="20"/>
          <w:szCs w:val="20"/>
        </w:rPr>
        <w:t xml:space="preserve">Reason: "Tylenol is a brand name — retry with generic"</w:t>
      </w:r>
    </w:p>
    <w:p>
      <w:pPr>
        <w:pStyle w:val="ListParagraph"/>
        <w:numPr>
          <w:ilvl w:val="0"/>
          <w:numId w:val="3"/>
        </w:numPr>
        <w:spacing w:after="60" w:before="60"/>
      </w:pPr>
      <w:r>
        <w:rPr>
          <w:rFonts w:ascii="Arial" w:cs="Arial" w:eastAsia="Arial" w:hAnsi="Arial"/>
          <w:color w:val="1A1A1A"/>
          <w:sz w:val="20"/>
          <w:szCs w:val="20"/>
        </w:rPr>
        <w:t xml:space="preserve">Call resolve_drug_to_rxcui("acetaminophen") and get RxCUI 161</w:t>
      </w:r>
    </w:p>
    <w:p>
      <w:pPr>
        <w:pStyle w:val="ListParagraph"/>
        <w:numPr>
          <w:ilvl w:val="0"/>
          <w:numId w:val="3"/>
        </w:numPr>
        <w:spacing w:after="60" w:before="60"/>
      </w:pPr>
      <w:r>
        <w:rPr>
          <w:rFonts w:ascii="Arial" w:cs="Arial" w:eastAsia="Arial" w:hAnsi="Arial"/>
          <w:color w:val="1A1A1A"/>
          <w:sz w:val="20"/>
          <w:szCs w:val="20"/>
        </w:rPr>
        <w:t xml:space="preserve">Continue with the full interaction check using the resolved code</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4.3  Cross-Service Clinical Synthesis</w:t>
      </w:r>
    </w:p>
    <w:p>
      <w:pPr>
        <w:spacing w:after="80" w:before="80"/>
      </w:pPr>
      <w:r>
        <w:rPr>
          <w:rFonts w:ascii="Arial" w:cs="Arial" w:eastAsia="Arial" w:hAnsi="Arial"/>
          <w:b w:val="false"/>
          <w:bCs w:val="false"/>
          <w:color w:val="1A1A1A"/>
          <w:sz w:val="20"/>
          <w:szCs w:val="20"/>
        </w:rPr>
        <w:t xml:space="preserve">A ClinicalEncounterAgent with access to all tools can reason across domains in a single pass. This cannot be replicated by any pipeline, regardless of how many steps it adds.</w:t>
      </w:r>
    </w:p>
    <w:p>
      <w:pPr>
        <w:spacing w:after="160" w:before="0"/>
      </w:pPr>
      <w:r>
        <w:t xml:space="preserve"/>
      </w:r>
    </w:p>
    <w:tbl>
      <w:tblPr>
        <w:tblW w:type="dxa" w:w="9360"/>
        <w:tblBorders>
          <w:top w:val="single" w:color="375623" w:sz="8"/>
          <w:left w:val="single" w:color="375623" w:sz="20"/>
          <w:bottom w:val="single" w:color="375623" w:sz="2"/>
          <w:right w:val="single" w:color="375623" w:sz="2"/>
          <w:insideH w:val="single" w:color="auto" w:sz="4"/>
          <w:insideV w:val="single" w:color="auto" w:sz="4"/>
        </w:tblBorders>
      </w:tblPr>
      <w:tblGrid>
        <w:gridCol w:w="9360"/>
      </w:tblGrid>
      <w:tr>
        <w:tc>
          <w:tcPr>
            <w:tcW w:type="dxa" w:w="9360"/>
            <w:tcBorders>
              <w:top w:val="none"/>
              <w:left w:val="none"/>
              <w:bottom w:val="none"/>
              <w:right w:val="none"/>
            </w:tcBorders>
            <w:shd w:fill="E2EFDA" w:val="clear"/>
            <w:tcMar>
              <w:top w:type="dxa" w:w="120"/>
              <w:left w:type="dxa" w:w="200"/>
              <w:bottom w:type="dxa" w:w="120"/>
              <w:right w:type="dxa" w:w="200"/>
            </w:tcMar>
          </w:tcPr>
          <w:p>
            <w:r>
              <w:rPr>
                <w:rFonts w:ascii="Arial" w:cs="Arial" w:eastAsia="Arial" w:hAnsi="Arial"/>
                <w:color w:val="375623"/>
                <w:sz w:val="20"/>
                <w:szCs w:val="20"/>
              </w:rPr>
              <w:t xml:space="preserve">"Vital trends show creatinine rising 40% over 3 visits. Patient was just prescribed gentamicin. FDA label warns of nephrotoxicity. Patient is 72 years old. I will flag this as a HIGH PRIORITY drug-disease interaction and recommend dose adjustment in the SOAP plan."</w:t>
            </w:r>
          </w:p>
        </w:tc>
      </w:tr>
    </w:tbl>
    <w:p>
      <w:pPr>
        <w:spacing w:after="160" w:before="0"/>
      </w:pPr>
      <w:r>
        <w:t xml:space="preserve"/>
      </w:r>
    </w:p>
    <w:p>
      <w:pPr>
        <w:pStyle w:val="Heading2"/>
        <w:spacing w:after="120" w:before="240"/>
      </w:pPr>
      <w:r>
        <w:rPr>
          <w:rFonts w:ascii="Arial" w:cs="Arial" w:eastAsia="Arial" w:hAnsi="Arial"/>
          <w:b/>
          <w:bCs/>
          <w:color w:val="2E75B6"/>
          <w:sz w:val="28"/>
          <w:szCs w:val="28"/>
        </w:rPr>
        <w:t xml:space="preserve">4.4  Extensibility Without Code Changes</w:t>
      </w:r>
    </w:p>
    <w:p>
      <w:pPr>
        <w:spacing w:after="80" w:before="80"/>
      </w:pPr>
      <w:r>
        <w:rPr>
          <w:rFonts w:ascii="Arial" w:cs="Arial" w:eastAsia="Arial" w:hAnsi="Arial"/>
          <w:b w:val="false"/>
          <w:bCs w:val="false"/>
          <w:color w:val="1A1A1A"/>
          <w:sz w:val="20"/>
          <w:szCs w:val="20"/>
        </w:rPr>
        <w:t xml:space="preserve">Registering a new clinical capability is a single operation. Examples of tools you could add over time:</w:t>
      </w:r>
    </w:p>
    <w:p>
      <w:pPr>
        <w:pStyle w:val="ListParagraph"/>
        <w:numPr>
          <w:ilvl w:val="0"/>
          <w:numId w:val="2"/>
        </w:numPr>
        <w:spacing w:after="60" w:before="60"/>
      </w:pPr>
      <w:r>
        <w:rPr>
          <w:rFonts w:ascii="Arial" w:cs="Arial" w:eastAsia="Arial" w:hAnsi="Arial"/>
          <w:color w:val="1A1A1A"/>
          <w:sz w:val="20"/>
          <w:szCs w:val="20"/>
        </w:rPr>
        <w:t xml:space="preserve">renal_dose_calculator(drug, creatinine_clearance) — age and weight adjusted dosing</w:t>
      </w:r>
    </w:p>
    <w:p>
      <w:pPr>
        <w:pStyle w:val="ListParagraph"/>
        <w:numPr>
          <w:ilvl w:val="0"/>
          <w:numId w:val="2"/>
        </w:numPr>
        <w:spacing w:after="60" w:before="60"/>
      </w:pPr>
      <w:r>
        <w:rPr>
          <w:rFonts w:ascii="Arial" w:cs="Arial" w:eastAsia="Arial" w:hAnsi="Arial"/>
          <w:color w:val="1A1A1A"/>
          <w:sz w:val="20"/>
          <w:szCs w:val="20"/>
        </w:rPr>
        <w:t xml:space="preserve">icd10_suggester(clinical_notes) — propose ICD-10 codes from free text</w:t>
      </w:r>
    </w:p>
    <w:p>
      <w:pPr>
        <w:pStyle w:val="ListParagraph"/>
        <w:numPr>
          <w:ilvl w:val="0"/>
          <w:numId w:val="2"/>
        </w:numPr>
        <w:spacing w:after="60" w:before="60"/>
      </w:pPr>
      <w:r>
        <w:rPr>
          <w:rFonts w:ascii="Arial" w:cs="Arial" w:eastAsia="Arial" w:hAnsi="Arial"/>
          <w:color w:val="1A1A1A"/>
          <w:sz w:val="20"/>
          <w:szCs w:val="20"/>
        </w:rPr>
        <w:t xml:space="preserve">prior_auth_checker(drug, insurance_plan) — eligibility pre-check</w:t>
      </w:r>
    </w:p>
    <w:p>
      <w:pPr>
        <w:pStyle w:val="ListParagraph"/>
        <w:numPr>
          <w:ilvl w:val="0"/>
          <w:numId w:val="2"/>
        </w:numPr>
        <w:spacing w:after="60" w:before="60"/>
      </w:pPr>
      <w:r>
        <w:rPr>
          <w:rFonts w:ascii="Arial" w:cs="Arial" w:eastAsia="Arial" w:hAnsi="Arial"/>
          <w:color w:val="1A1A1A"/>
          <w:sz w:val="20"/>
          <w:szCs w:val="20"/>
        </w:rPr>
        <w:t xml:space="preserve">clinical_guideline_lookup(condition) — pull ACC/AHA or USPSTF guidelines</w:t>
      </w:r>
    </w:p>
    <w:p>
      <w:pPr>
        <w:pStyle w:val="ListParagraph"/>
        <w:numPr>
          <w:ilvl w:val="0"/>
          <w:numId w:val="2"/>
        </w:numPr>
        <w:spacing w:after="60" w:before="60"/>
      </w:pPr>
      <w:r>
        <w:rPr>
          <w:rFonts w:ascii="Arial" w:cs="Arial" w:eastAsia="Arial" w:hAnsi="Arial"/>
          <w:color w:val="1A1A1A"/>
          <w:sz w:val="20"/>
          <w:szCs w:val="20"/>
        </w:rPr>
        <w:t xml:space="preserve">lab_trend_analyzer(lab_name, values, dates) — flag clinically significant trajectories</w:t>
      </w:r>
    </w:p>
    <w:p>
      <w:pPr>
        <w:spacing w:after="160" w:before="0"/>
      </w:pPr>
      <w:r>
        <w:t xml:space="preserve"/>
      </w:r>
    </w:p>
    <w:p>
      <w:pPr>
        <w:spacing w:after="80" w:before="80"/>
      </w:pPr>
      <w:r>
        <w:rPr>
          <w:rFonts w:ascii="Arial" w:cs="Arial" w:eastAsia="Arial" w:hAnsi="Arial"/>
          <w:b w:val="false"/>
          <w:bCs w:val="false"/>
          <w:color w:val="1A1A1A"/>
          <w:sz w:val="20"/>
          <w:szCs w:val="20"/>
        </w:rPr>
        <w:t xml:space="preserve">Each is a new @function_tool. The agent uses it when relevant, with no changes to the orchestration logic.</w:t>
      </w:r>
    </w:p>
    <w:p>
      <w:pPr>
        <w:spacing w:after="160" w:before="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6"/>
          <w:szCs w:val="36"/>
        </w:rPr>
        <w:t xml:space="preserve">5. Feasibility Assessment</w:t>
      </w:r>
    </w:p>
    <w:p>
      <w:pPr>
        <w:spacing w:after="80" w:before="80"/>
      </w:pPr>
      <w:r>
        <w:rPr>
          <w:rFonts w:ascii="Arial" w:cs="Arial" w:eastAsia="Arial" w:hAnsi="Arial"/>
          <w:b w:val="false"/>
          <w:bCs w:val="false"/>
          <w:color w:val="1A1A1A"/>
          <w:sz w:val="20"/>
          <w:szCs w:val="20"/>
        </w:rPr>
        <w:t xml:space="preserve">Converting SynaptaEMR AI to an agentic architecture is highly feasible. The table below assesses each prerequisite: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Prerequisite</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Status</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OpenAI Agents SDK installed</w:t>
            </w:r>
          </w:p>
        </w:tc>
        <w:tc>
          <w:tcPr>
            <w:tcW w:type="dxa" w:w="21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center"/>
            </w:pPr>
            <w:r>
              <w:rPr>
                <w:rFonts w:ascii="Arial" w:cs="Arial" w:eastAsia="Arial" w:hAnsi="Arial"/>
                <w:b/>
                <w:bCs/>
                <w:color w:val="375623"/>
                <w:sz w:val="20"/>
                <w:szCs w:val="20"/>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openai-agents 0.17.3 in requirements.txt</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Isolated service functions</w:t>
            </w:r>
          </w:p>
        </w:tc>
        <w:tc>
          <w:tcPr>
            <w:tcW w:type="dxa" w:w="21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center"/>
            </w:pPr>
            <w:r>
              <w:rPr>
                <w:rFonts w:ascii="Arial" w:cs="Arial" w:eastAsia="Arial" w:hAnsi="Arial"/>
                <w:b/>
                <w:bCs/>
                <w:color w:val="375623"/>
                <w:sz w:val="20"/>
                <w:szCs w:val="20"/>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rxnav_service.py, vitalTrendsService.py, presidio_service.py are all cleanly separated</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Structured schemas (Pydantic)</w:t>
            </w:r>
          </w:p>
        </w:tc>
        <w:tc>
          <w:tcPr>
            <w:tcW w:type="dxa" w:w="21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center"/>
            </w:pPr>
            <w:r>
              <w:rPr>
                <w:rFonts w:ascii="Arial" w:cs="Arial" w:eastAsia="Arial" w:hAnsi="Arial"/>
                <w:b/>
                <w:bCs/>
                <w:color w:val="375623"/>
                <w:sz w:val="20"/>
                <w:szCs w:val="20"/>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25+ Pydantic models — ideal for tool input/output validation</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Async architecture</w:t>
            </w:r>
          </w:p>
        </w:tc>
        <w:tc>
          <w:tcPr>
            <w:tcW w:type="dxa" w:w="21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center"/>
            </w:pPr>
            <w:r>
              <w:rPr>
                <w:rFonts w:ascii="Arial" w:cs="Arial" w:eastAsia="Arial" w:hAnsi="Arial"/>
                <w:b/>
                <w:bCs/>
                <w:color w:val="375623"/>
                <w:sz w:val="20"/>
                <w:szCs w:val="20"/>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FastAPI + async/await throughout — Agents SDK requires async</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Existing AI integration</w:t>
            </w:r>
          </w:p>
        </w:tc>
        <w:tc>
          <w:tcPr>
            <w:tcW w:type="dxa" w:w="21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center"/>
            </w:pPr>
            <w:r>
              <w:rPr>
                <w:rFonts w:ascii="Arial" w:cs="Arial" w:eastAsia="Arial" w:hAnsi="Arial"/>
                <w:b/>
                <w:bCs/>
                <w:color w:val="375623"/>
                <w:sz w:val="20"/>
                <w:szCs w:val="20"/>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Agent + Runner already imported and used in soapAI.py and drugInteractionAI.py</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Prompt templates ready</w:t>
            </w:r>
          </w:p>
        </w:tc>
        <w:tc>
          <w:tcPr>
            <w:tcW w:type="dxa" w:w="21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center"/>
            </w:pPr>
            <w:r>
              <w:rPr>
                <w:rFonts w:ascii="Arial" w:cs="Arial" w:eastAsia="Arial" w:hAnsi="Arial"/>
                <w:b/>
                <w:bCs/>
                <w:color w:val="375623"/>
                <w:sz w:val="20"/>
                <w:szCs w:val="20"/>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aiprompts/ directory with modular prompts per domain</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Session state / memory</w:t>
            </w:r>
          </w:p>
        </w:tc>
        <w:tc>
          <w:tcPr>
            <w:tcW w:type="dxa" w:w="2160"/>
            <w:tcBorders>
              <w:top w:val="single" w:color="CCCCCC" w:sz="1"/>
              <w:left w:val="single" w:color="CCCCCC" w:sz="1"/>
              <w:bottom w:val="single" w:color="CCCCCC" w:sz="1"/>
              <w:right w:val="single" w:color="CCCCCC" w:sz="1"/>
            </w:tcBorders>
            <w:shd w:fill="FCE4D6" w:val="clear"/>
            <w:tcMar>
              <w:top w:type="dxa" w:w="100"/>
              <w:left w:type="dxa" w:w="120"/>
              <w:bottom w:type="dxa" w:w="100"/>
              <w:right w:type="dxa" w:w="120"/>
            </w:tcMar>
          </w:tcPr>
          <w:p>
            <w:pPr>
              <w:jc w:val="center"/>
            </w:pPr>
            <w:r>
              <w:rPr>
                <w:rFonts w:ascii="Arial" w:cs="Arial" w:eastAsia="Arial" w:hAnsi="Arial"/>
                <w:b/>
                <w:bCs/>
                <w:color w:val="843C0C"/>
                <w:sz w:val="20"/>
                <w:szCs w:val="20"/>
              </w:rPr>
              <w:t xml:space="preserve">NEEDED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Currently stateless per-request. A session context store would be needed for multi-turn encounters.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Agent handoff infrastructure</w:t>
            </w:r>
          </w:p>
        </w:tc>
        <w:tc>
          <w:tcPr>
            <w:tcW w:type="dxa" w:w="2160"/>
            <w:tcBorders>
              <w:top w:val="single" w:color="CCCCCC" w:sz="1"/>
              <w:left w:val="single" w:color="CCCCCC" w:sz="1"/>
              <w:bottom w:val="single" w:color="CCCCCC" w:sz="1"/>
              <w:right w:val="single" w:color="CCCCCC" w:sz="1"/>
            </w:tcBorders>
            <w:shd w:fill="FCE4D6" w:val="clear"/>
            <w:tcMar>
              <w:top w:type="dxa" w:w="100"/>
              <w:left w:type="dxa" w:w="120"/>
              <w:bottom w:type="dxa" w:w="100"/>
              <w:right w:type="dxa" w:w="120"/>
            </w:tcMar>
          </w:tcPr>
          <w:p>
            <w:pPr>
              <w:jc w:val="center"/>
            </w:pPr>
            <w:r>
              <w:rPr>
                <w:rFonts w:ascii="Arial" w:cs="Arial" w:eastAsia="Arial" w:hAnsi="Arial"/>
                <w:b/>
                <w:bCs/>
                <w:color w:val="843C0C"/>
                <w:sz w:val="20"/>
                <w:szCs w:val="20"/>
              </w:rPr>
              <w:t xml:space="preserve">NEEDED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Multi-agent handoffs are supported by the SDK but not yet wired up. New code only, no changes to existing.</w:t>
            </w:r>
          </w:p>
        </w:tc>
      </w:tr>
    </w:tbl>
    <w:p>
      <w:pPr>
        <w:spacing w:after="160" w:before="0"/>
      </w:pPr>
      <w:r>
        <w:t xml:space="preserve"/>
      </w:r>
    </w:p>
    <w:tbl>
      <w:tblPr>
        <w:tblW w:type="dxa" w:w="9360"/>
        <w:tblBorders>
          <w:top w:val="single" w:color="375623" w:sz="8"/>
          <w:left w:val="single" w:color="375623" w:sz="20"/>
          <w:bottom w:val="single" w:color="375623" w:sz="2"/>
          <w:right w:val="single" w:color="375623" w:sz="2"/>
          <w:insideH w:val="single" w:color="auto" w:sz="4"/>
          <w:insideV w:val="single" w:color="auto" w:sz="4"/>
        </w:tblBorders>
      </w:tblPr>
      <w:tblGrid>
        <w:gridCol w:w="9360"/>
      </w:tblGrid>
      <w:tr>
        <w:tc>
          <w:tcPr>
            <w:tcW w:type="dxa" w:w="9360"/>
            <w:tcBorders>
              <w:top w:val="none"/>
              <w:left w:val="none"/>
              <w:bottom w:val="none"/>
              <w:right w:val="none"/>
            </w:tcBorders>
            <w:shd w:fill="E2EFDA" w:val="clear"/>
            <w:tcMar>
              <w:top w:type="dxa" w:w="120"/>
              <w:left w:type="dxa" w:w="200"/>
              <w:bottom w:type="dxa" w:w="120"/>
              <w:right w:type="dxa" w:w="200"/>
            </w:tcMar>
          </w:tcPr>
          <w:p>
            <w:r>
              <w:rPr>
                <w:rFonts w:ascii="Arial" w:cs="Arial" w:eastAsia="Arial" w:hAnsi="Arial"/>
                <w:color w:val="375623"/>
                <w:sz w:val="20"/>
                <w:szCs w:val="20"/>
              </w:rPr>
              <w:t xml:space="preserve">6 of 8 prerequisites are already satisfied. The two remaining items (session state, agent handoffs) are new additions only — they do not require changing any existing code.</w:t>
            </w:r>
          </w:p>
        </w:tc>
      </w:tr>
    </w:tbl>
    <w:p>
      <w:pPr>
        <w:spacing w:after="160" w:before="0"/>
      </w:pPr>
      <w:r>
        <w:t xml:space="preserve"/>
      </w:r>
    </w:p>
    <w:p>
      <w:pPr>
        <w:pStyle w:val="Heading2"/>
        <w:spacing w:after="120" w:before="240"/>
      </w:pPr>
      <w:r>
        <w:rPr>
          <w:rFonts w:ascii="Arial" w:cs="Arial" w:eastAsia="Arial" w:hAnsi="Arial"/>
          <w:b/>
          <w:bCs/>
          <w:color w:val="2E75B6"/>
          <w:sz w:val="28"/>
          <w:szCs w:val="28"/>
        </w:rPr>
        <w:t xml:space="preserve">5.1  What Does NOT Need to Change</w:t>
      </w:r>
    </w:p>
    <w:p>
      <w:pPr>
        <w:spacing w:after="80" w:before="80"/>
      </w:pPr>
      <w:r>
        <w:rPr>
          <w:rFonts w:ascii="Arial" w:cs="Arial" w:eastAsia="Arial" w:hAnsi="Arial"/>
          <w:b w:val="false"/>
          <w:bCs w:val="false"/>
          <w:color w:val="1A1A1A"/>
          <w:sz w:val="20"/>
          <w:szCs w:val="20"/>
        </w:rPr>
        <w:t xml:space="preserve">Agentic conversion is purely additive. The following files require zero modification:</w:t>
      </w:r>
    </w:p>
    <w:p>
      <w:pPr>
        <w:pStyle w:val="ListParagraph"/>
        <w:numPr>
          <w:ilvl w:val="0"/>
          <w:numId w:val="2"/>
        </w:numPr>
        <w:spacing w:after="60" w:before="60"/>
      </w:pPr>
      <w:r>
        <w:rPr>
          <w:rFonts w:ascii="Arial" w:cs="Arial" w:eastAsia="Arial" w:hAnsi="Arial"/>
          <w:color w:val="1A1A1A"/>
          <w:sz w:val="20"/>
          <w:szCs w:val="20"/>
        </w:rPr>
        <w:t xml:space="preserve">main.py — existing endpoints continue to work as-is</w:t>
      </w:r>
    </w:p>
    <w:p>
      <w:pPr>
        <w:pStyle w:val="ListParagraph"/>
        <w:numPr>
          <w:ilvl w:val="0"/>
          <w:numId w:val="2"/>
        </w:numPr>
        <w:spacing w:after="60" w:before="60"/>
      </w:pPr>
      <w:r>
        <w:rPr>
          <w:rFonts w:ascii="Arial" w:cs="Arial" w:eastAsia="Arial" w:hAnsi="Arial"/>
          <w:color w:val="1A1A1A"/>
          <w:sz w:val="20"/>
          <w:szCs w:val="20"/>
        </w:rPr>
        <w:t xml:space="preserve">soapAI.py / soapOllama.py — existing SOAP generation logic unchanged</w:t>
      </w:r>
    </w:p>
    <w:p>
      <w:pPr>
        <w:pStyle w:val="ListParagraph"/>
        <w:numPr>
          <w:ilvl w:val="0"/>
          <w:numId w:val="2"/>
        </w:numPr>
        <w:spacing w:after="60" w:before="60"/>
      </w:pPr>
      <w:r>
        <w:rPr>
          <w:rFonts w:ascii="Arial" w:cs="Arial" w:eastAsia="Arial" w:hAnsi="Arial"/>
          <w:color w:val="1A1A1A"/>
          <w:sz w:val="20"/>
          <w:szCs w:val="20"/>
        </w:rPr>
        <w:t xml:space="preserve">drugInteractionAI.py — existing pipeline still valid for direct calls</w:t>
      </w:r>
    </w:p>
    <w:p>
      <w:pPr>
        <w:pStyle w:val="ListParagraph"/>
        <w:numPr>
          <w:ilvl w:val="0"/>
          <w:numId w:val="2"/>
        </w:numPr>
        <w:spacing w:after="60" w:before="60"/>
      </w:pPr>
      <w:r>
        <w:rPr>
          <w:rFonts w:ascii="Arial" w:cs="Arial" w:eastAsia="Arial" w:hAnsi="Arial"/>
          <w:color w:val="1A1A1A"/>
          <w:sz w:val="20"/>
          <w:szCs w:val="20"/>
        </w:rPr>
        <w:t xml:space="preserve">services/*.py — all service functions imported and reused as tools</w:t>
      </w:r>
    </w:p>
    <w:p>
      <w:pPr>
        <w:pStyle w:val="ListParagraph"/>
        <w:numPr>
          <w:ilvl w:val="0"/>
          <w:numId w:val="2"/>
        </w:numPr>
        <w:spacing w:after="60" w:before="60"/>
      </w:pPr>
      <w:r>
        <w:rPr>
          <w:rFonts w:ascii="Arial" w:cs="Arial" w:eastAsia="Arial" w:hAnsi="Arial"/>
          <w:color w:val="1A1A1A"/>
          <w:sz w:val="20"/>
          <w:szCs w:val="20"/>
        </w:rPr>
        <w:t xml:space="preserve">ioschemas/SoapSchemas.py — Pydantic models reused for tool I/O</w:t>
      </w:r>
    </w:p>
    <w:p>
      <w:pPr>
        <w:pStyle w:val="ListParagraph"/>
        <w:numPr>
          <w:ilvl w:val="0"/>
          <w:numId w:val="2"/>
        </w:numPr>
        <w:spacing w:after="60" w:before="60"/>
      </w:pPr>
      <w:r>
        <w:rPr>
          <w:rFonts w:ascii="Arial" w:cs="Arial" w:eastAsia="Arial" w:hAnsi="Arial"/>
          <w:color w:val="1A1A1A"/>
          <w:sz w:val="20"/>
          <w:szCs w:val="20"/>
        </w:rPr>
        <w:t xml:space="preserve">aiprompts/*.py — prompts reused directly in agent instructions</w:t>
      </w:r>
    </w:p>
    <w:p>
      <w:pPr>
        <w:pStyle w:val="ListParagraph"/>
        <w:numPr>
          <w:ilvl w:val="0"/>
          <w:numId w:val="2"/>
        </w:numPr>
        <w:spacing w:after="60" w:before="60"/>
      </w:pPr>
      <w:r>
        <w:rPr>
          <w:rFonts w:ascii="Arial" w:cs="Arial" w:eastAsia="Arial" w:hAnsi="Arial"/>
          <w:color w:val="1A1A1A"/>
          <w:sz w:val="20"/>
          <w:szCs w:val="20"/>
        </w:rPr>
        <w:t xml:space="preserve">requirements.txt — no new dependencies needed</w:t>
      </w:r>
    </w:p>
    <w:p>
      <w:pPr>
        <w:spacing w:after="160" w:before="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6"/>
          <w:szCs w:val="36"/>
        </w:rPr>
        <w:t xml:space="preserve">6. Proposed Agentic Architecture</w:t>
      </w:r>
    </w:p>
    <w:p>
      <w:pPr>
        <w:pStyle w:val="Heading2"/>
        <w:spacing w:after="120" w:before="240"/>
      </w:pPr>
      <w:r>
        <w:rPr>
          <w:rFonts w:ascii="Arial" w:cs="Arial" w:eastAsia="Arial" w:hAnsi="Arial"/>
          <w:b/>
          <w:bCs/>
          <w:color w:val="2E75B6"/>
          <w:sz w:val="28"/>
          <w:szCs w:val="28"/>
        </w:rPr>
        <w:t xml:space="preserve">6.1  Agent Hierarchy</w:t>
      </w:r>
    </w:p>
    <w:p>
      <w:pPr>
        <w:spacing w:after="80" w:before="80"/>
      </w:pPr>
      <w:r>
        <w:rPr>
          <w:rFonts w:ascii="Arial" w:cs="Arial" w:eastAsia="Arial" w:hAnsi="Arial"/>
          <w:b w:val="false"/>
          <w:bCs w:val="false"/>
          <w:color w:val="1A1A1A"/>
          <w:sz w:val="20"/>
          <w:szCs w:val="20"/>
        </w:rPr>
        <w:t xml:space="preserve">The recommended design uses a three-tier agent hierarchy, where a master orchestrator delegates to specialized clinical agents: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Agent</w:t>
            </w:r>
          </w:p>
        </w:tc>
        <w:tc>
          <w:tcPr>
            <w:tcW w:type="dxa" w:w="30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Responsibility</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Tools Available</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ClinicalEncounterAgent (Master)</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Receives full encounter. Decides which sub-agents to invoke and in what order.</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handoff_to_drug_safety, handoff_to_documentation, handoff_to_vitals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DrugSafetyAgent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Autonomous drug interaction analysis with self-correction.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resolve_drug_to_rxcui, check_known_interactions, get_fda_warnings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DocumentationAgent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SOAP note generation with dynamic depth based on encounter complexity.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redact_phi, transcribe_encounter, write_soap_note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ClinicalReviewAgent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Cross-domain clinical synthesis — vitals + labs + medications.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analyze_vitals, summarize_patient, icd10_suggester (future)</w:t>
            </w:r>
          </w:p>
        </w:tc>
      </w:tr>
    </w:tbl>
    <w:p>
      <w:pPr>
        <w:spacing w:after="160" w:before="0"/>
      </w:pPr>
      <w:r>
        <w:t xml:space="preserve"/>
      </w:r>
    </w:p>
    <w:p>
      <w:pPr>
        <w:pStyle w:val="Heading2"/>
        <w:spacing w:after="120" w:before="240"/>
      </w:pPr>
      <w:r>
        <w:rPr>
          <w:rFonts w:ascii="Arial" w:cs="Arial" w:eastAsia="Arial" w:hAnsi="Arial"/>
          <w:b/>
          <w:bCs/>
          <w:color w:val="2E75B6"/>
          <w:sz w:val="28"/>
          <w:szCs w:val="28"/>
        </w:rPr>
        <w:t xml:space="preserve">6.2  How a Clinical Encounter Flows</w:t>
      </w:r>
    </w:p>
    <w:p>
      <w:pPr>
        <w:spacing w:after="80" w:before="80"/>
      </w:pPr>
      <w:r>
        <w:rPr>
          <w:rFonts w:ascii="Arial" w:cs="Arial" w:eastAsia="Arial" w:hAnsi="Arial"/>
          <w:b w:val="false"/>
          <w:bCs w:val="false"/>
          <w:color w:val="1A1A1A"/>
          <w:sz w:val="20"/>
          <w:szCs w:val="20"/>
        </w:rPr>
        <w:t xml:space="preserve">Under the agentic architecture, a POST to /generate_soap works like this:</w:t>
      </w:r>
    </w:p>
    <w:p>
      <w:pPr>
        <w:pStyle w:val="ListParagraph"/>
        <w:numPr>
          <w:ilvl w:val="0"/>
          <w:numId w:val="3"/>
        </w:numPr>
        <w:spacing w:after="60" w:before="60"/>
      </w:pPr>
      <w:r>
        <w:rPr>
          <w:rFonts w:ascii="Arial" w:cs="Arial" w:eastAsia="Arial" w:hAnsi="Arial"/>
          <w:color w:val="1A1A1A"/>
          <w:sz w:val="20"/>
          <w:szCs w:val="20"/>
        </w:rPr>
        <w:t xml:space="preserve">ClinicalEncounterAgent receives the full SoapGenerationPayload.</w:t>
      </w:r>
    </w:p>
    <w:p>
      <w:pPr>
        <w:pStyle w:val="ListParagraph"/>
        <w:numPr>
          <w:ilvl w:val="0"/>
          <w:numId w:val="3"/>
        </w:numPr>
        <w:spacing w:after="60" w:before="60"/>
      </w:pPr>
      <w:r>
        <w:rPr>
          <w:rFonts w:ascii="Arial" w:cs="Arial" w:eastAsia="Arial" w:hAnsi="Arial"/>
          <w:color w:val="1A1A1A"/>
          <w:sz w:val="20"/>
          <w:szCs w:val="20"/>
        </w:rPr>
        <w:t xml:space="preserve">It reads patient context, vitals, medication list, and encounter type.</w:t>
      </w:r>
    </w:p>
    <w:p>
      <w:pPr>
        <w:pStyle w:val="ListParagraph"/>
        <w:numPr>
          <w:ilvl w:val="0"/>
          <w:numId w:val="3"/>
        </w:numPr>
        <w:spacing w:after="60" w:before="60"/>
      </w:pPr>
      <w:r>
        <w:rPr>
          <w:rFonts w:ascii="Arial" w:cs="Arial" w:eastAsia="Arial" w:hAnsi="Arial"/>
          <w:color w:val="1A1A1A"/>
          <w:sz w:val="20"/>
          <w:szCs w:val="20"/>
        </w:rPr>
        <w:t xml:space="preserve">It decides: "Complex polypharmacy case — hand off to DrugSafetyAgent AND ClinicalReviewAgent in parallel."</w:t>
      </w:r>
    </w:p>
    <w:p>
      <w:pPr>
        <w:pStyle w:val="ListParagraph"/>
        <w:numPr>
          <w:ilvl w:val="0"/>
          <w:numId w:val="3"/>
        </w:numPr>
        <w:spacing w:after="60" w:before="60"/>
      </w:pPr>
      <w:r>
        <w:rPr>
          <w:rFonts w:ascii="Arial" w:cs="Arial" w:eastAsia="Arial" w:hAnsi="Arial"/>
          <w:color w:val="1A1A1A"/>
          <w:sz w:val="20"/>
          <w:szCs w:val="20"/>
        </w:rPr>
        <w:t xml:space="preserve">DrugSafetyAgent autonomously resolves drugs, checks interactions, fetches FDA labels.</w:t>
      </w:r>
    </w:p>
    <w:p>
      <w:pPr>
        <w:pStyle w:val="ListParagraph"/>
        <w:numPr>
          <w:ilvl w:val="0"/>
          <w:numId w:val="3"/>
        </w:numPr>
        <w:spacing w:after="60" w:before="60"/>
      </w:pPr>
      <w:r>
        <w:rPr>
          <w:rFonts w:ascii="Arial" w:cs="Arial" w:eastAsia="Arial" w:hAnsi="Arial"/>
          <w:color w:val="1A1A1A"/>
          <w:sz w:val="20"/>
          <w:szCs w:val="20"/>
        </w:rPr>
        <w:t xml:space="preserve">ClinicalReviewAgent analyzes vital trends and synthesizes a risk summary.</w:t>
      </w:r>
    </w:p>
    <w:p>
      <w:pPr>
        <w:pStyle w:val="ListParagraph"/>
        <w:numPr>
          <w:ilvl w:val="0"/>
          <w:numId w:val="3"/>
        </w:numPr>
        <w:spacing w:after="60" w:before="60"/>
      </w:pPr>
      <w:r>
        <w:rPr>
          <w:rFonts w:ascii="Arial" w:cs="Arial" w:eastAsia="Arial" w:hAnsi="Arial"/>
          <w:color w:val="1A1A1A"/>
          <w:sz w:val="20"/>
          <w:szCs w:val="20"/>
        </w:rPr>
        <w:t xml:space="preserve">DocumentationAgent receives both reports as context and writes the SOAP note.</w:t>
      </w:r>
    </w:p>
    <w:p>
      <w:pPr>
        <w:pStyle w:val="ListParagraph"/>
        <w:numPr>
          <w:ilvl w:val="0"/>
          <w:numId w:val="3"/>
        </w:numPr>
        <w:spacing w:after="60" w:before="60"/>
      </w:pPr>
      <w:r>
        <w:rPr>
          <w:rFonts w:ascii="Arial" w:cs="Arial" w:eastAsia="Arial" w:hAnsi="Arial"/>
          <w:color w:val="1A1A1A"/>
          <w:sz w:val="20"/>
          <w:szCs w:val="20"/>
        </w:rPr>
        <w:t xml:space="preserve">ClinicalEncounterAgent assembles the final response and returns it.</w:t>
      </w:r>
    </w:p>
    <w:p>
      <w:pPr>
        <w:spacing w:after="160" w:before="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6"/>
          <w:szCs w:val="36"/>
        </w:rPr>
        <w:t xml:space="preserve">7. Conversion Roadmap</w:t>
      </w:r>
    </w:p>
    <w:p>
      <w:pPr>
        <w:spacing w:after="80" w:before="80"/>
      </w:pPr>
      <w:r>
        <w:rPr>
          <w:rFonts w:ascii="Arial" w:cs="Arial" w:eastAsia="Arial" w:hAnsi="Arial"/>
          <w:b w:val="false"/>
          <w:bCs w:val="false"/>
          <w:color w:val="1A1A1A"/>
          <w:sz w:val="20"/>
          <w:szCs w:val="20"/>
        </w:rPr>
        <w:t xml:space="preserve">The conversion is structured in three phases, each independently deployable. No phase requires modifying existing files.</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Phase 1 — Single Agent Conversion (Low Risk, High Value)</w:t>
      </w:r>
    </w:p>
    <w:p>
      <w:pPr>
        <w:spacing w:after="80" w:before="80"/>
      </w:pPr>
      <w:r>
        <w:rPr>
          <w:rFonts w:ascii="Arial" w:cs="Arial" w:eastAsia="Arial" w:hAnsi="Arial"/>
          <w:b w:val="false"/>
          <w:bCs w:val="false"/>
          <w:color w:val="1A1A1A"/>
          <w:sz w:val="20"/>
          <w:szCs w:val="20"/>
        </w:rPr>
        <w:t xml:space="preserve">Convert the drug interaction pipeline to a single agentic service. This is demonstrated in example_agentic_drug_interaction.py already provided.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Task</w:t>
            </w:r>
          </w:p>
        </w:tc>
        <w:tc>
          <w:tcPr>
            <w:tcW w:type="dxa" w:w="2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Effort</w:t>
            </w:r>
          </w:p>
        </w:tc>
      </w:tr>
      <w:tr>
        <w:tc>
          <w:tcPr>
            <w:tcW w:type="dxa" w:w="7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Wrap resolve_rxcui, get_interactions, get_fda_label_warnings with @function_tool</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1-2 hours</w:t>
            </w:r>
          </w:p>
        </w:tc>
      </w:tr>
      <w:tr>
        <w:tc>
          <w:tcPr>
            <w:tcW w:type="dxa" w:w="7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Create DrugSafetyAgent with 3 tools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1 hour</w:t>
            </w:r>
          </w:p>
        </w:tc>
      </w:tr>
      <w:tr>
        <w:tc>
          <w:tcPr>
            <w:tcW w:type="dxa" w:w="7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Add new /agent/drug_check endpoint (old endpoint untouched)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1 hour</w:t>
            </w:r>
          </w:p>
        </w:tc>
      </w:tr>
      <w:tr>
        <w:tc>
          <w:tcPr>
            <w:tcW w:type="dxa" w:w="7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Write tests comparing agentic vs. pipeline output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2-3 hours</w:t>
            </w:r>
          </w:p>
        </w:tc>
      </w:tr>
    </w:tbl>
    <w:p>
      <w:pPr>
        <w:spacing w:after="160" w:before="0"/>
      </w:pPr>
      <w:r>
        <w:t xml:space="preserve"/>
      </w:r>
    </w:p>
    <w:p>
      <w:pPr>
        <w:pStyle w:val="Heading2"/>
        <w:spacing w:after="120" w:before="240"/>
      </w:pPr>
      <w:r>
        <w:rPr>
          <w:rFonts w:ascii="Arial" w:cs="Arial" w:eastAsia="Arial" w:hAnsi="Arial"/>
          <w:b/>
          <w:bCs/>
          <w:color w:val="2E75B6"/>
          <w:sz w:val="28"/>
          <w:szCs w:val="28"/>
        </w:rPr>
        <w:t xml:space="preserve">Phase 2 — Multi-Tool Clinical Review Agent (Medium Complexity)</w:t>
      </w:r>
    </w:p>
    <w:p>
      <w:pPr>
        <w:spacing w:after="80" w:before="80"/>
      </w:pPr>
      <w:r>
        <w:rPr>
          <w:rFonts w:ascii="Arial" w:cs="Arial" w:eastAsia="Arial" w:hAnsi="Arial"/>
          <w:b w:val="false"/>
          <w:bCs w:val="false"/>
          <w:color w:val="1A1A1A"/>
          <w:sz w:val="20"/>
          <w:szCs w:val="20"/>
        </w:rPr>
        <w:t xml:space="preserve">Create a ClinicalReviewAgent that holds vital trend analysis and patient summary tools, enabling cross-domain reasoning.</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Task</w:t>
            </w:r>
          </w:p>
        </w:tc>
        <w:tc>
          <w:tcPr>
            <w:tcW w:type="dxa" w:w="2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Effort</w:t>
            </w:r>
          </w:p>
        </w:tc>
      </w:tr>
      <w:tr>
        <w:tc>
          <w:tcPr>
            <w:tcW w:type="dxa" w:w="7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Wrap vital_trends and patient_summary services as tools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2 hours</w:t>
            </w:r>
          </w:p>
        </w:tc>
      </w:tr>
      <w:tr>
        <w:tc>
          <w:tcPr>
            <w:tcW w:type="dxa" w:w="7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Create ClinicalReviewAgent with cross-domain synthesis prompt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2-3 hours</w:t>
            </w:r>
          </w:p>
        </w:tc>
      </w:tr>
      <w:tr>
        <w:tc>
          <w:tcPr>
            <w:tcW w:type="dxa" w:w="7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Add session context store (Redis or in-memory) for multi-turn state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4-6 hours</w:t>
            </w:r>
          </w:p>
        </w:tc>
      </w:tr>
    </w:tbl>
    <w:p>
      <w:pPr>
        <w:spacing w:after="160" w:before="0"/>
      </w:pPr>
      <w:r>
        <w:t xml:space="preserve"/>
      </w:r>
    </w:p>
    <w:p>
      <w:pPr>
        <w:pStyle w:val="Heading2"/>
        <w:spacing w:after="120" w:before="240"/>
      </w:pPr>
      <w:r>
        <w:rPr>
          <w:rFonts w:ascii="Arial" w:cs="Arial" w:eastAsia="Arial" w:hAnsi="Arial"/>
          <w:b/>
          <w:bCs/>
          <w:color w:val="2E75B6"/>
          <w:sz w:val="28"/>
          <w:szCs w:val="28"/>
        </w:rPr>
        <w:t xml:space="preserve">Phase 3 — Master Orchestrator (Full Agentic Architecture)</w:t>
      </w:r>
    </w:p>
    <w:p>
      <w:pPr>
        <w:spacing w:after="80" w:before="80"/>
      </w:pPr>
      <w:r>
        <w:rPr>
          <w:rFonts w:ascii="Arial" w:cs="Arial" w:eastAsia="Arial" w:hAnsi="Arial"/>
          <w:b w:val="false"/>
          <w:bCs w:val="false"/>
          <w:color w:val="1A1A1A"/>
          <w:sz w:val="20"/>
          <w:szCs w:val="20"/>
        </w:rPr>
        <w:t xml:space="preserve">Introduce the ClinicalEncounterAgent as a master orchestrator that delegates to Phase 1 and Phase 2 agents via handoffs.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Task</w:t>
            </w:r>
          </w:p>
        </w:tc>
        <w:tc>
          <w:tcPr>
            <w:tcW w:type="dxa" w:w="2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Effort</w:t>
            </w:r>
          </w:p>
        </w:tc>
      </w:tr>
      <w:tr>
        <w:tc>
          <w:tcPr>
            <w:tcW w:type="dxa" w:w="7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Design ClinicalEncounterAgent system prompt with encounter triage logic</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3-4 hours</w:t>
            </w:r>
          </w:p>
        </w:tc>
      </w:tr>
      <w:tr>
        <w:tc>
          <w:tcPr>
            <w:tcW w:type="dxa" w:w="7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Wire agent handoffs between master and sub-agents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4-6 hours</w:t>
            </w:r>
          </w:p>
        </w:tc>
      </w:tr>
      <w:tr>
        <w:tc>
          <w:tcPr>
            <w:tcW w:type="dxa" w:w="7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Add new /agent/encounter endpoint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1-2 hours</w:t>
            </w:r>
          </w:p>
        </w:tc>
      </w:tr>
      <w:tr>
        <w:tc>
          <w:tcPr>
            <w:tcW w:type="dxa" w:w="7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Load and integration testing across all agents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1-2 days</w:t>
            </w:r>
          </w:p>
        </w:tc>
      </w:tr>
    </w:tbl>
    <w:p>
      <w:pPr>
        <w:spacing w:after="160" w:before="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6"/>
          <w:szCs w:val="36"/>
        </w:rPr>
        <w:t xml:space="preserve">8. Risks and Mitigations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Risk</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Likelihood</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Agent makes incorrect clinical decision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All outputs validated against Pydantic schemas; clinical rules enforced in system prompt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Higher API cost from multi-tool calls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Use gpt-4o-mini for tool selection; reserve gpt-4o for final synthesis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Increased latency from agent reasoning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Low-Medium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Set max_turns limit on Runner.run(). Parallel tool execution reduces real latency vs. sequential pipeline.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PHI exposure risk in tool arguments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redact_phi tool called before any agent passes data to external APIs. Presidio pipeline unchanged.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Existing endpoints broken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All three phases are additive. New endpoints only, no existing code modified.</w:t>
            </w:r>
          </w:p>
        </w:tc>
      </w:tr>
    </w:tbl>
    <w:p>
      <w:pPr>
        <w:spacing w:after="160" w:before="0"/>
      </w:pPr>
      <w:r>
        <w:t xml:space="preserve"/>
      </w:r>
    </w:p>
    <w:p>
      <w:pPr>
        <w:pStyle w:val="Heading1"/>
        <w:pBdr>
          <w:bottom w:val="single" w:color="2E75B6" w:sz="6" w:space="4"/>
        </w:pBdr>
        <w:spacing w:after="160" w:before="320"/>
      </w:pPr>
      <w:r>
        <w:rPr>
          <w:rFonts w:ascii="Arial" w:cs="Arial" w:eastAsia="Arial" w:hAnsi="Arial"/>
          <w:b/>
          <w:bCs/>
          <w:color w:val="1F4E79"/>
          <w:sz w:val="36"/>
          <w:szCs w:val="36"/>
        </w:rPr>
        <w:t xml:space="preserve">9. Summary</w:t>
      </w:r>
    </w:p>
    <w:p>
      <w:pPr>
        <w:spacing w:after="80" w:before="80"/>
      </w:pPr>
      <w:r>
        <w:rPr>
          <w:rFonts w:ascii="Arial" w:cs="Arial" w:eastAsia="Arial" w:hAnsi="Arial"/>
          <w:b w:val="false"/>
          <w:bCs w:val="false"/>
          <w:color w:val="1A1A1A"/>
          <w:sz w:val="20"/>
          <w:szCs w:val="20"/>
        </w:rPr>
        <w:t xml:space="preserve">SynaptaEMR AI is an excellent foundation for agentic AI. The current pipeline architecture has served well, but clinical reality is complex and non-linear — exactly the domain where agentic systems excel.</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Question</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Answer</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Is agentic AI feasible for this codebase?</w:t>
            </w:r>
          </w:p>
        </w:tc>
        <w:tc>
          <w:tcPr>
            <w:tcW w:type="dxa" w:w="468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Yes. 6 of 8 prerequisites already met.</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Does existing code need to be changed?</w:t>
            </w:r>
          </w:p>
        </w:tc>
        <w:tc>
          <w:tcPr>
            <w:tcW w:type="dxa" w:w="468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No. Conversion is 100% additive.</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What is the minimum viable first step?</w:t>
            </w:r>
          </w:p>
        </w:tc>
        <w:tc>
          <w:tcPr>
            <w:tcW w:type="dxa" w:w="468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Wrap 3 rxnav functions with @function_tool. Already demonstrated in example_agentic_drug_interaction.py.</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How long does full conversion take?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Phase 1: ~1 day. Phase 2: ~2-3 days. Phase 3: ~1 week.</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What is the biggest clinical benefit?</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Cross-domain reasoning: vitals + drugs + history synthesized by a single orchestrating agent.</w:t>
            </w:r>
          </w:p>
        </w:tc>
      </w:tr>
    </w:tbl>
    <w:p>
      <w:pPr>
        <w:spacing w:after="160" w:before="0"/>
      </w:pPr>
      <w:r>
        <w:t xml:space="preserve"/>
      </w:r>
    </w:p>
    <w:tbl>
      <w:tblPr>
        <w:tblW w:type="dxa" w:w="9360"/>
        <w:tblBorders>
          <w:top w:val="single" w:color="2E75B6" w:sz="8"/>
          <w:left w:val="single" w:color="2E75B6" w:sz="20"/>
          <w:bottom w:val="single" w:color="2E75B6" w:sz="2"/>
          <w:right w:val="single" w:color="2E75B6" w:sz="2"/>
          <w:insideH w:val="single" w:color="auto" w:sz="4"/>
          <w:insideV w:val="single" w:color="auto" w:sz="4"/>
        </w:tblBorders>
      </w:tblPr>
      <w:tblGrid>
        <w:gridCol w:w="9360"/>
      </w:tblGrid>
      <w:tr>
        <w:tc>
          <w:tcPr>
            <w:tcW w:type="dxa" w:w="9360"/>
            <w:tcBorders>
              <w:top w:val="none"/>
              <w:left w:val="none"/>
              <w:bottom w:val="none"/>
              <w:right w:val="none"/>
            </w:tcBorders>
            <w:shd w:fill="D6E4F0" w:val="clear"/>
            <w:tcMar>
              <w:top w:type="dxa" w:w="120"/>
              <w:left w:type="dxa" w:w="200"/>
              <w:bottom w:type="dxa" w:w="120"/>
              <w:right w:type="dxa" w:w="200"/>
            </w:tcMar>
          </w:tcPr>
          <w:p>
            <w:r>
              <w:rPr>
                <w:rFonts w:ascii="Arial" w:cs="Arial" w:eastAsia="Arial" w:hAnsi="Arial"/>
                <w:color w:val="1F4E79"/>
                <w:sz w:val="20"/>
                <w:szCs w:val="20"/>
              </w:rPr>
              <w:t xml:space="preserve">Recommendation: Start with Phase 1 (DrugSafetyAgent) in parallel with the existing drug interaction endpoint. Run both for 2 weeks, compare outputs, and validate. If quality meets clinical standards, extend to Phase 2. This approach carries zero risk to the existing system.</w:t>
            </w:r>
          </w:p>
        </w:tc>
      </w:tr>
    </w:tbl>
    <w:p>
      <w:pPr>
        <w:spacing w:after="160" w:before="0"/>
      </w:pPr>
      <w:r>
        <w:t xml:space="preserve"/>
      </w:r>
    </w:p>
    <w:p>
      <w:pPr>
        <w:spacing w:after="0" w:before="320"/>
        <w:jc w:val="center"/>
      </w:pPr>
      <w:r>
        <w:rPr>
          <w:rFonts w:ascii="Arial" w:cs="Arial" w:eastAsia="Arial" w:hAnsi="Arial"/>
          <w:color w:val="888888"/>
          <w:sz w:val="18"/>
          <w:szCs w:val="1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SynaptaEMR AI  |  Agentic Architecture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2026-06-24T16:14:26.359Z</dcterms:created>
  <dcterms:modified xsi:type="dcterms:W3CDTF">2026-06-24T16:14:26.362Z</dcterms:modified>
</cp:coreProperties>
</file>

<file path=docProps/custom.xml><?xml version="1.0" encoding="utf-8"?>
<Properties xmlns="http://schemas.openxmlformats.org/officeDocument/2006/custom-properties" xmlns:vt="http://schemas.openxmlformats.org/officeDocument/2006/docPropsVTypes"/>
</file>