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004D" w:rsidRDefault="005E004D">
      <w:pPr>
        <w:spacing w:after="1400"/>
      </w:pPr>
      <w:bookmarkStart w:id="0" w:name="_GoBack"/>
      <w:bookmarkEnd w:id="0"/>
    </w:p>
    <w:p w:rsidR="005E004D" w:rsidRDefault="005D13D7">
      <w:pPr>
        <w:pStyle w:val="Title"/>
      </w:pPr>
      <w:r>
        <w:t>SYNAPTA HEALTH</w:t>
      </w:r>
    </w:p>
    <w:p w:rsidR="005E004D" w:rsidRDefault="005D13D7">
      <w:pPr>
        <w:spacing w:after="60"/>
      </w:pPr>
      <w:r>
        <w:rPr>
          <w:b/>
          <w:bCs/>
          <w:sz w:val="32"/>
          <w:szCs w:val="32"/>
        </w:rPr>
        <w:t>Secure Data Exchange Through Guardrails &amp; Audits</w:t>
      </w:r>
    </w:p>
    <w:p w:rsidR="005E004D" w:rsidRDefault="005D13D7">
      <w:pPr>
        <w:spacing w:after="300"/>
      </w:pPr>
      <w:r>
        <w:rPr>
          <w:i/>
          <w:iCs/>
          <w:color w:val="555555"/>
          <w:sz w:val="24"/>
          <w:szCs w:val="24"/>
        </w:rPr>
        <w:t>with a feasibility note on Retrieval-Augmented Generation (RAG)</w:t>
      </w:r>
    </w:p>
    <w:p w:rsidR="005E004D" w:rsidRDefault="005D13D7">
      <w:pPr>
        <w:spacing w:after="80"/>
      </w:pPr>
      <w:r>
        <w:rPr>
          <w:color w:val="555555"/>
        </w:rPr>
        <w:t>How layered technical guardrails and an immutable audit trail prevent PHI breach across the AI data-exchange path</w:t>
      </w:r>
    </w:p>
    <w:p w:rsidR="005E004D" w:rsidRDefault="005E004D">
      <w:pPr>
        <w:spacing w:after="900"/>
      </w:pPr>
    </w:p>
    <w:p w:rsidR="005E004D" w:rsidRDefault="005D13D7">
      <w:pPr>
        <w:spacing w:after="40"/>
      </w:pPr>
      <w:r>
        <w:rPr>
          <w:sz w:val="20"/>
          <w:szCs w:val="20"/>
        </w:rPr>
        <w:t>Scope:  Data exchange path for Ambient Documentation, Smart Templates, AI Results Inbox, and Basic CDS</w:t>
      </w:r>
    </w:p>
    <w:p w:rsidR="005E004D" w:rsidRDefault="005D13D7">
      <w:pPr>
        <w:spacing w:after="40"/>
      </w:pPr>
      <w:r>
        <w:rPr>
          <w:sz w:val="20"/>
          <w:szCs w:val="20"/>
        </w:rPr>
        <w:t>Prepared by:  Compliance &amp; Engineering (advisory)</w:t>
      </w:r>
    </w:p>
    <w:p w:rsidR="005E004D" w:rsidRDefault="005D13D7">
      <w:pPr>
        <w:spacing w:after="40"/>
      </w:pPr>
      <w:r>
        <w:rPr>
          <w:sz w:val="20"/>
          <w:szCs w:val="20"/>
        </w:rPr>
        <w:t>Date:  July 2026  ·  Version 1.0</w:t>
      </w:r>
    </w:p>
    <w:p w:rsidR="005E004D" w:rsidRDefault="005D13D7">
      <w:pPr>
        <w:spacing w:after="40"/>
      </w:pPr>
      <w:r>
        <w:rPr>
          <w:sz w:val="20"/>
          <w:szCs w:val="20"/>
        </w:rPr>
        <w:t>Classification:  Confidential — Internal</w:t>
      </w:r>
    </w:p>
    <w:p w:rsidR="005E004D" w:rsidRDefault="005D13D7">
      <w:r>
        <w:br w:type="page"/>
      </w:r>
    </w:p>
    <w:p w:rsidR="005E004D" w:rsidRDefault="005E004D">
      <w:pPr>
        <w:sectPr w:rsidR="005E004D" w:rsidSect="00FC1AC4">
          <w:pgSz w:w="12240" w:h="15840"/>
          <w:pgMar w:top="568" w:right="1440" w:bottom="1440" w:left="1440" w:header="708" w:footer="708" w:gutter="0"/>
          <w:cols w:space="720"/>
          <w:docGrid w:linePitch="360"/>
        </w:sectPr>
      </w:pPr>
    </w:p>
    <w:p w:rsidR="005E004D" w:rsidRDefault="005D13D7">
      <w:pPr>
        <w:pStyle w:val="Heading1"/>
      </w:pPr>
      <w:bookmarkStart w:id="1" w:name="_Toc233902827"/>
      <w:r>
        <w:lastRenderedPageBreak/>
        <w:t>Contents</w:t>
      </w:r>
      <w:bookmarkEnd w:id="1"/>
    </w:p>
    <w:sdt>
      <w:sdtPr>
        <w:alias w:val="Table of Contents"/>
        <w:id w:val="1051033883"/>
      </w:sdtPr>
      <w:sdtEndPr/>
      <w:sdtContent>
        <w:p w:rsidR="00FC1AC4" w:rsidRDefault="005D13D7">
          <w:pPr>
            <w:pStyle w:val="TOC1"/>
            <w:tabs>
              <w:tab w:val="right" w:leader="dot" w:pos="9350"/>
            </w:tabs>
            <w:rPr>
              <w:noProof/>
            </w:rPr>
          </w:pPr>
          <w:r>
            <w:fldChar w:fldCharType="begin"/>
          </w:r>
          <w:r>
            <w:instrText xml:space="preserve">TOC \h \o </w:instrText>
          </w:r>
          <w:r>
            <w:instrText>"1-2"</w:instrText>
          </w:r>
          <w:r>
            <w:fldChar w:fldCharType="separate"/>
          </w:r>
          <w:hyperlink w:anchor="_Toc233902827" w:history="1">
            <w:r w:rsidR="00FC1AC4" w:rsidRPr="0013623D">
              <w:rPr>
                <w:rStyle w:val="Hyperlink"/>
                <w:noProof/>
              </w:rPr>
              <w:t>Contents</w:t>
            </w:r>
            <w:r w:rsidR="00FC1AC4">
              <w:rPr>
                <w:noProof/>
              </w:rPr>
              <w:tab/>
            </w:r>
            <w:r w:rsidR="00FC1AC4">
              <w:rPr>
                <w:noProof/>
              </w:rPr>
              <w:fldChar w:fldCharType="begin"/>
            </w:r>
            <w:r w:rsidR="00FC1AC4">
              <w:rPr>
                <w:noProof/>
              </w:rPr>
              <w:instrText xml:space="preserve"> PAGEREF _Toc233902827 \h </w:instrText>
            </w:r>
            <w:r w:rsidR="00FC1AC4">
              <w:rPr>
                <w:noProof/>
              </w:rPr>
            </w:r>
            <w:r w:rsidR="00FC1AC4">
              <w:rPr>
                <w:noProof/>
              </w:rPr>
              <w:fldChar w:fldCharType="separate"/>
            </w:r>
            <w:r w:rsidR="00FC1AC4">
              <w:rPr>
                <w:noProof/>
              </w:rPr>
              <w:t>2</w:t>
            </w:r>
            <w:r w:rsidR="00FC1AC4">
              <w:rPr>
                <w:noProof/>
              </w:rPr>
              <w:fldChar w:fldCharType="end"/>
            </w:r>
          </w:hyperlink>
        </w:p>
        <w:p w:rsidR="00FC1AC4" w:rsidRDefault="00FC1AC4">
          <w:pPr>
            <w:pStyle w:val="TOC1"/>
            <w:tabs>
              <w:tab w:val="right" w:leader="dot" w:pos="9350"/>
            </w:tabs>
            <w:rPr>
              <w:noProof/>
            </w:rPr>
          </w:pPr>
          <w:hyperlink w:anchor="_Toc233902828" w:history="1">
            <w:r w:rsidRPr="0013623D">
              <w:rPr>
                <w:rStyle w:val="Hyperlink"/>
                <w:noProof/>
              </w:rPr>
              <w:t>Executive Summary</w:t>
            </w:r>
            <w:r>
              <w:rPr>
                <w:noProof/>
              </w:rPr>
              <w:tab/>
            </w:r>
            <w:r>
              <w:rPr>
                <w:noProof/>
              </w:rPr>
              <w:fldChar w:fldCharType="begin"/>
            </w:r>
            <w:r>
              <w:rPr>
                <w:noProof/>
              </w:rPr>
              <w:instrText xml:space="preserve"> PAGEREF _Toc233902828 \h </w:instrText>
            </w:r>
            <w:r>
              <w:rPr>
                <w:noProof/>
              </w:rPr>
            </w:r>
            <w:r>
              <w:rPr>
                <w:noProof/>
              </w:rPr>
              <w:fldChar w:fldCharType="separate"/>
            </w:r>
            <w:r>
              <w:rPr>
                <w:noProof/>
              </w:rPr>
              <w:t>3</w:t>
            </w:r>
            <w:r>
              <w:rPr>
                <w:noProof/>
              </w:rPr>
              <w:fldChar w:fldCharType="end"/>
            </w:r>
          </w:hyperlink>
        </w:p>
        <w:p w:rsidR="00FC1AC4" w:rsidRDefault="00FC1AC4">
          <w:pPr>
            <w:pStyle w:val="TOC1"/>
            <w:tabs>
              <w:tab w:val="right" w:leader="dot" w:pos="9350"/>
            </w:tabs>
            <w:rPr>
              <w:noProof/>
            </w:rPr>
          </w:pPr>
          <w:hyperlink w:anchor="_Toc233902829" w:history="1">
            <w:r w:rsidRPr="0013623D">
              <w:rPr>
                <w:rStyle w:val="Hyperlink"/>
                <w:noProof/>
              </w:rPr>
              <w:t>1. The Data Exchange Path</w:t>
            </w:r>
            <w:r>
              <w:rPr>
                <w:noProof/>
              </w:rPr>
              <w:tab/>
            </w:r>
            <w:r>
              <w:rPr>
                <w:noProof/>
              </w:rPr>
              <w:fldChar w:fldCharType="begin"/>
            </w:r>
            <w:r>
              <w:rPr>
                <w:noProof/>
              </w:rPr>
              <w:instrText xml:space="preserve"> PAGEREF _Toc233902829 \h </w:instrText>
            </w:r>
            <w:r>
              <w:rPr>
                <w:noProof/>
              </w:rPr>
            </w:r>
            <w:r>
              <w:rPr>
                <w:noProof/>
              </w:rPr>
              <w:fldChar w:fldCharType="separate"/>
            </w:r>
            <w:r>
              <w:rPr>
                <w:noProof/>
              </w:rPr>
              <w:t>3</w:t>
            </w:r>
            <w:r>
              <w:rPr>
                <w:noProof/>
              </w:rPr>
              <w:fldChar w:fldCharType="end"/>
            </w:r>
          </w:hyperlink>
        </w:p>
        <w:p w:rsidR="00FC1AC4" w:rsidRDefault="00FC1AC4">
          <w:pPr>
            <w:pStyle w:val="TOC1"/>
            <w:tabs>
              <w:tab w:val="right" w:leader="dot" w:pos="9350"/>
            </w:tabs>
            <w:rPr>
              <w:noProof/>
            </w:rPr>
          </w:pPr>
          <w:hyperlink w:anchor="_Toc233902830" w:history="1">
            <w:r w:rsidRPr="0013623D">
              <w:rPr>
                <w:rStyle w:val="Hyperlink"/>
                <w:noProof/>
              </w:rPr>
              <w:t>2. Guardrails Mapped to the Breach They Prevent</w:t>
            </w:r>
            <w:r>
              <w:rPr>
                <w:noProof/>
              </w:rPr>
              <w:tab/>
            </w:r>
            <w:r>
              <w:rPr>
                <w:noProof/>
              </w:rPr>
              <w:fldChar w:fldCharType="begin"/>
            </w:r>
            <w:r>
              <w:rPr>
                <w:noProof/>
              </w:rPr>
              <w:instrText xml:space="preserve"> PAGEREF _Toc233902830 \h </w:instrText>
            </w:r>
            <w:r>
              <w:rPr>
                <w:noProof/>
              </w:rPr>
            </w:r>
            <w:r>
              <w:rPr>
                <w:noProof/>
              </w:rPr>
              <w:fldChar w:fldCharType="separate"/>
            </w:r>
            <w:r>
              <w:rPr>
                <w:noProof/>
              </w:rPr>
              <w:t>4</w:t>
            </w:r>
            <w:r>
              <w:rPr>
                <w:noProof/>
              </w:rPr>
              <w:fldChar w:fldCharType="end"/>
            </w:r>
          </w:hyperlink>
        </w:p>
        <w:p w:rsidR="00FC1AC4" w:rsidRDefault="00FC1AC4">
          <w:pPr>
            <w:pStyle w:val="TOC1"/>
            <w:tabs>
              <w:tab w:val="right" w:leader="dot" w:pos="9350"/>
            </w:tabs>
            <w:rPr>
              <w:noProof/>
            </w:rPr>
          </w:pPr>
          <w:hyperlink w:anchor="_Toc233902831" w:history="1">
            <w:r w:rsidRPr="0013623D">
              <w:rPr>
                <w:rStyle w:val="Hyperlink"/>
                <w:noProof/>
              </w:rPr>
              <w:t>3. Audit Trail Design</w:t>
            </w:r>
            <w:r>
              <w:rPr>
                <w:noProof/>
              </w:rPr>
              <w:tab/>
            </w:r>
            <w:r>
              <w:rPr>
                <w:noProof/>
              </w:rPr>
              <w:fldChar w:fldCharType="begin"/>
            </w:r>
            <w:r>
              <w:rPr>
                <w:noProof/>
              </w:rPr>
              <w:instrText xml:space="preserve"> PAGEREF _Toc233902831 \h </w:instrText>
            </w:r>
            <w:r>
              <w:rPr>
                <w:noProof/>
              </w:rPr>
            </w:r>
            <w:r>
              <w:rPr>
                <w:noProof/>
              </w:rPr>
              <w:fldChar w:fldCharType="separate"/>
            </w:r>
            <w:r>
              <w:rPr>
                <w:noProof/>
              </w:rPr>
              <w:t>4</w:t>
            </w:r>
            <w:r>
              <w:rPr>
                <w:noProof/>
              </w:rPr>
              <w:fldChar w:fldCharType="end"/>
            </w:r>
          </w:hyperlink>
        </w:p>
        <w:p w:rsidR="00FC1AC4" w:rsidRDefault="00FC1AC4">
          <w:pPr>
            <w:pStyle w:val="TOC2"/>
            <w:tabs>
              <w:tab w:val="right" w:leader="dot" w:pos="9350"/>
            </w:tabs>
            <w:rPr>
              <w:noProof/>
            </w:rPr>
          </w:pPr>
          <w:hyperlink w:anchor="_Toc233902832" w:history="1">
            <w:r w:rsidRPr="0013623D">
              <w:rPr>
                <w:rStyle w:val="Hyperlink"/>
                <w:noProof/>
              </w:rPr>
              <w:t>What is logged</w:t>
            </w:r>
            <w:r>
              <w:rPr>
                <w:noProof/>
              </w:rPr>
              <w:tab/>
            </w:r>
            <w:r>
              <w:rPr>
                <w:noProof/>
              </w:rPr>
              <w:fldChar w:fldCharType="begin"/>
            </w:r>
            <w:r>
              <w:rPr>
                <w:noProof/>
              </w:rPr>
              <w:instrText xml:space="preserve"> PAGEREF _Toc233902832 \h </w:instrText>
            </w:r>
            <w:r>
              <w:rPr>
                <w:noProof/>
              </w:rPr>
            </w:r>
            <w:r>
              <w:rPr>
                <w:noProof/>
              </w:rPr>
              <w:fldChar w:fldCharType="separate"/>
            </w:r>
            <w:r>
              <w:rPr>
                <w:noProof/>
              </w:rPr>
              <w:t>5</w:t>
            </w:r>
            <w:r>
              <w:rPr>
                <w:noProof/>
              </w:rPr>
              <w:fldChar w:fldCharType="end"/>
            </w:r>
          </w:hyperlink>
        </w:p>
        <w:p w:rsidR="00FC1AC4" w:rsidRDefault="00FC1AC4">
          <w:pPr>
            <w:pStyle w:val="TOC2"/>
            <w:tabs>
              <w:tab w:val="right" w:leader="dot" w:pos="9350"/>
            </w:tabs>
            <w:rPr>
              <w:noProof/>
            </w:rPr>
          </w:pPr>
          <w:hyperlink w:anchor="_Toc233902833" w:history="1">
            <w:r w:rsidRPr="0013623D">
              <w:rPr>
                <w:rStyle w:val="Hyperlink"/>
                <w:noProof/>
              </w:rPr>
              <w:t>How it is protected</w:t>
            </w:r>
            <w:r>
              <w:rPr>
                <w:noProof/>
              </w:rPr>
              <w:tab/>
            </w:r>
            <w:r>
              <w:rPr>
                <w:noProof/>
              </w:rPr>
              <w:fldChar w:fldCharType="begin"/>
            </w:r>
            <w:r>
              <w:rPr>
                <w:noProof/>
              </w:rPr>
              <w:instrText xml:space="preserve"> PAGEREF _Toc233902833 \h </w:instrText>
            </w:r>
            <w:r>
              <w:rPr>
                <w:noProof/>
              </w:rPr>
            </w:r>
            <w:r>
              <w:rPr>
                <w:noProof/>
              </w:rPr>
              <w:fldChar w:fldCharType="separate"/>
            </w:r>
            <w:r>
              <w:rPr>
                <w:noProof/>
              </w:rPr>
              <w:t>5</w:t>
            </w:r>
            <w:r>
              <w:rPr>
                <w:noProof/>
              </w:rPr>
              <w:fldChar w:fldCharType="end"/>
            </w:r>
          </w:hyperlink>
        </w:p>
        <w:p w:rsidR="00FC1AC4" w:rsidRDefault="00FC1AC4">
          <w:pPr>
            <w:pStyle w:val="TOC2"/>
            <w:tabs>
              <w:tab w:val="right" w:leader="dot" w:pos="9350"/>
            </w:tabs>
            <w:rPr>
              <w:noProof/>
            </w:rPr>
          </w:pPr>
          <w:hyperlink w:anchor="_Toc233902834" w:history="1">
            <w:r w:rsidRPr="0013623D">
              <w:rPr>
                <w:rStyle w:val="Hyperlink"/>
                <w:noProof/>
              </w:rPr>
              <w:t>How it plugs into breach response</w:t>
            </w:r>
            <w:r>
              <w:rPr>
                <w:noProof/>
              </w:rPr>
              <w:tab/>
            </w:r>
            <w:r>
              <w:rPr>
                <w:noProof/>
              </w:rPr>
              <w:fldChar w:fldCharType="begin"/>
            </w:r>
            <w:r>
              <w:rPr>
                <w:noProof/>
              </w:rPr>
              <w:instrText xml:space="preserve"> PAGEREF _Toc233902834 \h </w:instrText>
            </w:r>
            <w:r>
              <w:rPr>
                <w:noProof/>
              </w:rPr>
            </w:r>
            <w:r>
              <w:rPr>
                <w:noProof/>
              </w:rPr>
              <w:fldChar w:fldCharType="separate"/>
            </w:r>
            <w:r>
              <w:rPr>
                <w:noProof/>
              </w:rPr>
              <w:t>5</w:t>
            </w:r>
            <w:r>
              <w:rPr>
                <w:noProof/>
              </w:rPr>
              <w:fldChar w:fldCharType="end"/>
            </w:r>
          </w:hyperlink>
        </w:p>
        <w:p w:rsidR="00FC1AC4" w:rsidRDefault="00FC1AC4">
          <w:pPr>
            <w:pStyle w:val="TOC1"/>
            <w:tabs>
              <w:tab w:val="right" w:leader="dot" w:pos="9350"/>
            </w:tabs>
            <w:rPr>
              <w:noProof/>
            </w:rPr>
          </w:pPr>
          <w:hyperlink w:anchor="_Toc233902835" w:history="1">
            <w:r w:rsidRPr="0013623D">
              <w:rPr>
                <w:rStyle w:val="Hyperlink"/>
                <w:noProof/>
              </w:rPr>
              <w:t>4. How Guardrails and Audits Work Together</w:t>
            </w:r>
            <w:r>
              <w:rPr>
                <w:noProof/>
              </w:rPr>
              <w:tab/>
            </w:r>
            <w:r>
              <w:rPr>
                <w:noProof/>
              </w:rPr>
              <w:fldChar w:fldCharType="begin"/>
            </w:r>
            <w:r>
              <w:rPr>
                <w:noProof/>
              </w:rPr>
              <w:instrText xml:space="preserve"> PAGEREF _Toc233902835 \h </w:instrText>
            </w:r>
            <w:r>
              <w:rPr>
                <w:noProof/>
              </w:rPr>
            </w:r>
            <w:r>
              <w:rPr>
                <w:noProof/>
              </w:rPr>
              <w:fldChar w:fldCharType="separate"/>
            </w:r>
            <w:r>
              <w:rPr>
                <w:noProof/>
              </w:rPr>
              <w:t>5</w:t>
            </w:r>
            <w:r>
              <w:rPr>
                <w:noProof/>
              </w:rPr>
              <w:fldChar w:fldCharType="end"/>
            </w:r>
          </w:hyperlink>
        </w:p>
        <w:p w:rsidR="00FC1AC4" w:rsidRDefault="00FC1AC4">
          <w:pPr>
            <w:pStyle w:val="TOC1"/>
            <w:tabs>
              <w:tab w:val="right" w:leader="dot" w:pos="9350"/>
            </w:tabs>
            <w:rPr>
              <w:noProof/>
            </w:rPr>
          </w:pPr>
          <w:hyperlink w:anchor="_Toc233902836" w:history="1">
            <w:r w:rsidRPr="0013623D">
              <w:rPr>
                <w:rStyle w:val="Hyperlink"/>
                <w:noProof/>
              </w:rPr>
              <w:t>5. Go / No-Go Gates for Secure Data Exchange</w:t>
            </w:r>
            <w:r>
              <w:rPr>
                <w:noProof/>
              </w:rPr>
              <w:tab/>
            </w:r>
            <w:r>
              <w:rPr>
                <w:noProof/>
              </w:rPr>
              <w:fldChar w:fldCharType="begin"/>
            </w:r>
            <w:r>
              <w:rPr>
                <w:noProof/>
              </w:rPr>
              <w:instrText xml:space="preserve"> PAGEREF _Toc233902836 \h </w:instrText>
            </w:r>
            <w:r>
              <w:rPr>
                <w:noProof/>
              </w:rPr>
            </w:r>
            <w:r>
              <w:rPr>
                <w:noProof/>
              </w:rPr>
              <w:fldChar w:fldCharType="separate"/>
            </w:r>
            <w:r>
              <w:rPr>
                <w:noProof/>
              </w:rPr>
              <w:t>5</w:t>
            </w:r>
            <w:r>
              <w:rPr>
                <w:noProof/>
              </w:rPr>
              <w:fldChar w:fldCharType="end"/>
            </w:r>
          </w:hyperlink>
        </w:p>
        <w:p w:rsidR="00FC1AC4" w:rsidRDefault="00FC1AC4">
          <w:pPr>
            <w:pStyle w:val="TOC1"/>
            <w:tabs>
              <w:tab w:val="right" w:leader="dot" w:pos="9350"/>
            </w:tabs>
            <w:rPr>
              <w:noProof/>
            </w:rPr>
          </w:pPr>
          <w:hyperlink w:anchor="_Toc233902837" w:history="1">
            <w:r w:rsidRPr="0013623D">
              <w:rPr>
                <w:rStyle w:val="Hyperlink"/>
                <w:noProof/>
              </w:rPr>
              <w:t>6. Can Synapta Use RAG?</w:t>
            </w:r>
            <w:r>
              <w:rPr>
                <w:noProof/>
              </w:rPr>
              <w:tab/>
            </w:r>
            <w:r>
              <w:rPr>
                <w:noProof/>
              </w:rPr>
              <w:fldChar w:fldCharType="begin"/>
            </w:r>
            <w:r>
              <w:rPr>
                <w:noProof/>
              </w:rPr>
              <w:instrText xml:space="preserve"> PAGEREF _Toc233902837 \h </w:instrText>
            </w:r>
            <w:r>
              <w:rPr>
                <w:noProof/>
              </w:rPr>
            </w:r>
            <w:r>
              <w:rPr>
                <w:noProof/>
              </w:rPr>
              <w:fldChar w:fldCharType="separate"/>
            </w:r>
            <w:r>
              <w:rPr>
                <w:noProof/>
              </w:rPr>
              <w:t>7</w:t>
            </w:r>
            <w:r>
              <w:rPr>
                <w:noProof/>
              </w:rPr>
              <w:fldChar w:fldCharType="end"/>
            </w:r>
          </w:hyperlink>
        </w:p>
        <w:p w:rsidR="00FC1AC4" w:rsidRDefault="00FC1AC4">
          <w:pPr>
            <w:pStyle w:val="TOC2"/>
            <w:tabs>
              <w:tab w:val="right" w:leader="dot" w:pos="9350"/>
            </w:tabs>
            <w:rPr>
              <w:noProof/>
            </w:rPr>
          </w:pPr>
          <w:hyperlink w:anchor="_Toc233902838" w:history="1">
            <w:r w:rsidRPr="0013623D">
              <w:rPr>
                <w:rStyle w:val="Hyperlink"/>
                <w:noProof/>
              </w:rPr>
              <w:t>What has to be true for RAG to stay inside the secure boundary</w:t>
            </w:r>
            <w:r>
              <w:rPr>
                <w:noProof/>
              </w:rPr>
              <w:tab/>
            </w:r>
            <w:r>
              <w:rPr>
                <w:noProof/>
              </w:rPr>
              <w:fldChar w:fldCharType="begin"/>
            </w:r>
            <w:r>
              <w:rPr>
                <w:noProof/>
              </w:rPr>
              <w:instrText xml:space="preserve"> PAGEREF _Toc233902838 \h </w:instrText>
            </w:r>
            <w:r>
              <w:rPr>
                <w:noProof/>
              </w:rPr>
            </w:r>
            <w:r>
              <w:rPr>
                <w:noProof/>
              </w:rPr>
              <w:fldChar w:fldCharType="separate"/>
            </w:r>
            <w:r>
              <w:rPr>
                <w:noProof/>
              </w:rPr>
              <w:t>7</w:t>
            </w:r>
            <w:r>
              <w:rPr>
                <w:noProof/>
              </w:rPr>
              <w:fldChar w:fldCharType="end"/>
            </w:r>
          </w:hyperlink>
        </w:p>
        <w:p w:rsidR="005E004D" w:rsidRDefault="005D13D7">
          <w:r>
            <w:fldChar w:fldCharType="end"/>
          </w:r>
        </w:p>
      </w:sdtContent>
    </w:sdt>
    <w:p w:rsidR="005E004D" w:rsidRDefault="005D13D7">
      <w:r>
        <w:br w:type="page"/>
      </w:r>
    </w:p>
    <w:p w:rsidR="005E004D" w:rsidRDefault="005D13D7">
      <w:pPr>
        <w:pStyle w:val="Heading1"/>
      </w:pPr>
      <w:bookmarkStart w:id="2" w:name="_Toc233902828"/>
      <w:r>
        <w:lastRenderedPageBreak/>
        <w:t>Executive Summary</w:t>
      </w:r>
      <w:bookmarkEnd w:id="2"/>
    </w:p>
    <w:p w:rsidR="005E004D" w:rsidRDefault="005D13D7">
      <w:pPr>
        <w:spacing w:after="160"/>
      </w:pPr>
      <w:r>
        <w:t>PHI moves through Synapta's AI features in a defined path: captured at the point of care, de-identified, sent to an external model only when contractually covered, checked against the patient's chart for accuracy, reviewed b</w:t>
      </w:r>
      <w:r>
        <w:t>y a clinician, and written back. Breach prevention is not one control — it is this whole path being guarded at every step and every step being logged. This document walks that path, maps each guardrail to the specific breach it stops, and shows how the aud</w:t>
      </w:r>
      <w:r>
        <w:t>it trail catches and proves anything a guardrail misses. It closes with a direct answer on whether Synapta can use Retrieval-Augmented Generation (RAG), and what has to be true for RAG to stay inside the same secure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004D">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9E6F2"/>
            <w:tcMar>
              <w:top w:w="160" w:type="dxa"/>
              <w:left w:w="200" w:type="dxa"/>
              <w:bottom w:w="160" w:type="dxa"/>
              <w:right w:w="200" w:type="dxa"/>
            </w:tcMar>
          </w:tcPr>
          <w:p w:rsidR="005E004D" w:rsidRDefault="005D13D7">
            <w:pPr>
              <w:spacing w:after="80"/>
            </w:pPr>
            <w:r>
              <w:rPr>
                <w:b/>
                <w:bCs/>
                <w:color w:val="2E75B6"/>
                <w:sz w:val="20"/>
                <w:szCs w:val="20"/>
              </w:rPr>
              <w:t>KEY POINT</w:t>
            </w:r>
          </w:p>
          <w:p w:rsidR="005E004D" w:rsidRDefault="005D13D7">
            <w:r>
              <w:rPr>
                <w:sz w:val="20"/>
                <w:szCs w:val="20"/>
              </w:rPr>
              <w:t>Guardrails prevent a</w:t>
            </w:r>
            <w:r>
              <w:rPr>
                <w:sz w:val="20"/>
                <w:szCs w:val="20"/>
              </w:rPr>
              <w:t xml:space="preserve"> breach in real time. Audits prove it didn't happen — or catch it fast if it did. Neither one substitutes for the other, and neither substitutes for a signed BAA.</w:t>
            </w:r>
          </w:p>
        </w:tc>
      </w:tr>
    </w:tbl>
    <w:p w:rsidR="005E004D" w:rsidRDefault="005E004D">
      <w:pPr>
        <w:spacing w:after="200"/>
      </w:pPr>
    </w:p>
    <w:p w:rsidR="005E004D" w:rsidRDefault="005D13D7">
      <w:pPr>
        <w:pStyle w:val="Heading1"/>
      </w:pPr>
      <w:bookmarkStart w:id="3" w:name="_Toc233902829"/>
      <w:r>
        <w:t>1. The Data Exchange Path</w:t>
      </w:r>
      <w:bookmarkEnd w:id="3"/>
    </w:p>
    <w:p w:rsidR="005E004D" w:rsidRDefault="005D13D7">
      <w:pPr>
        <w:spacing w:after="160"/>
      </w:pPr>
      <w:r>
        <w:t>Every AI feature routes data through the same seven checkpoints. A guardrail sits at each checkpoint to stop unsafe data from moving forward; an audit event is written at each checkpoint so the path is fully reconstructable after the 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3060"/>
        <w:gridCol w:w="2500"/>
      </w:tblGrid>
      <w:tr w:rsidR="005E004D">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Stage</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Guardrai</w:t>
            </w:r>
            <w:r>
              <w:rPr>
                <w:b/>
                <w:bCs/>
                <w:color w:val="FFFFFF"/>
                <w:sz w:val="20"/>
                <w:szCs w:val="20"/>
              </w:rPr>
              <w:t>l active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Audit event logged</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1</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Capture (voice/text at point of care)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Input treated as untrusted; sanitized before use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Encounter ID, timestamp, source device</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2</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De-identification (Presidio)</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PHI tokenized before anything leaves the boundary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De-id event, recall/precision flags, residual-PHI checks</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3</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External model call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Hard gateway block unless a signed BAA is on record for that vendor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Vendor, model version, prompt hash, BAA reference</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4</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Response grounding (RAG against FHIR chart)</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Every cited value checked against the chart; mismatches suppressed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Grounding result, source FHIR resource IDs</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5</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Re-tokenization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Identifiers restored only inside the secure boundary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Re-tokenization event, integrity check</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6</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Clinician review</w:t>
            </w:r>
          </w:p>
        </w:tc>
        <w:tc>
          <w:tcPr>
            <w:tcW w:w="3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Accept / modify / reject required; nothing auto-commits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Clinician action, edit distance, override reason (if any)</w:t>
            </w:r>
          </w:p>
        </w:tc>
      </w:tr>
      <w:tr w:rsidR="005E004D">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7</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Write-back to chart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Confidence threshold + deterministic safety rules gate the write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Final record, model version, full chain of custody</w:t>
            </w:r>
          </w:p>
        </w:tc>
      </w:tr>
    </w:tbl>
    <w:p w:rsidR="005E004D" w:rsidRDefault="005E004D">
      <w:pPr>
        <w:spacing w:after="200"/>
      </w:pPr>
    </w:p>
    <w:p w:rsidR="005E004D" w:rsidRDefault="005D13D7">
      <w:pPr>
        <w:pStyle w:val="Heading1"/>
      </w:pPr>
      <w:bookmarkStart w:id="4" w:name="_Toc233902830"/>
      <w:r>
        <w:lastRenderedPageBreak/>
        <w:t>2. Guardrails Mapped to the Breach They Prevent</w:t>
      </w:r>
      <w:bookmarkEnd w:id="4"/>
    </w:p>
    <w:p w:rsidR="005E004D" w:rsidRDefault="005D13D7">
      <w:pPr>
        <w:spacing w:after="160"/>
      </w:pPr>
      <w:r>
        <w:t>Each guardrail exists to close one specific way PHI could leak, be fabricated, or be acted on without a human. Framed this way, guardrails are breach-prevention controls, not just quality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60"/>
        <w:gridCol w:w="3500"/>
      </w:tblGrid>
      <w:tr w:rsidR="005E004D">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Guardrail</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Breach / failure it prevents</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How it works</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BAA gateway block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PHI reaching a vendor with no contractual privacy obligation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External model routing is disabled in code for any vendor without a recorded, current BAA</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PHI de-identification (Presidio)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Raw identifiers leaving the security boundary</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Names, dates, IDs tokenized before any external call; recall measured and thresholded</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Re-tokenization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Identifiers being exposed outside the boundary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Tokens are only resolved back to real values inside Synapta'</w:t>
            </w:r>
            <w:r>
              <w:rPr>
                <w:sz w:val="20"/>
                <w:szCs w:val="20"/>
              </w:rPr>
              <w:t>s controlled environment</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Hallucination / grounding detection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A fabricated clinical value being shown or acted on</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Every cited number, date, or dose is verified against the patient's FHIR chart; mismatches are suppressed, not shown</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Confidence thresholding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 low-quality or uncertain output being trusted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Feature-specific thresholds suppress or flag sub-threshold outputs; clinical content has the highest bar</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Human-in-the-loop</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PHI being written to the chart or sent to a patient with no human check</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Every clinical output requires clinician accept / modify / reject; nothing auto-commits</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Input sanitization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Prompt injection extracting data or hijacking behavior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Transcript/intake text is treated as untrusted; system-prompt isolation; output re-validated against the chart</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Deterministic safety rules</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AI unpredictability affecting critical safety logic</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Drug-allergy and critical-lab logic runs on hard-coded, recognized databases — never on the AI layer</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Append-only audit logging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 breach going undetected or unprovable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Every inference recorded immutably: model, prompt hash, sanitized I/O, clinician action, timestamp</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Fail-safe degradation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Silent failure exposing data or defaulting to an unsafe state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Auto-failover to manual workflow; uncertain cases default to higher acuity, never to auto-approval</w:t>
            </w:r>
          </w:p>
        </w:tc>
      </w:tr>
      <w:tr w:rsidR="005E004D">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Sub-processor register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An undisclosed vendor touching PHI without a BAA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No new sub-processor can be enabled in code until it is registered and its BAA is executed</w:t>
            </w:r>
          </w:p>
        </w:tc>
      </w:tr>
    </w:tbl>
    <w:p w:rsidR="005E004D" w:rsidRDefault="005E004D">
      <w:pPr>
        <w:spacing w:after="200"/>
      </w:pPr>
    </w:p>
    <w:p w:rsidR="005E004D" w:rsidRDefault="005D13D7">
      <w:pPr>
        <w:pStyle w:val="Heading1"/>
      </w:pPr>
      <w:bookmarkStart w:id="5" w:name="_Toc233902831"/>
      <w:r>
        <w:t>3. Audit Trail Design</w:t>
      </w:r>
      <w:bookmarkEnd w:id="5"/>
    </w:p>
    <w:p w:rsidR="005E004D" w:rsidRDefault="005D13D7">
      <w:pPr>
        <w:pStyle w:val="Heading2"/>
      </w:pPr>
      <w:bookmarkStart w:id="6" w:name="_Toc233902832"/>
      <w:r>
        <w:lastRenderedPageBreak/>
        <w:t>What is logged</w:t>
      </w:r>
      <w:bookmarkEnd w:id="6"/>
    </w:p>
    <w:p w:rsidR="005E004D" w:rsidRDefault="005D13D7">
      <w:pPr>
        <w:pStyle w:val="ListParagraph"/>
        <w:numPr>
          <w:ilvl w:val="0"/>
          <w:numId w:val="2"/>
        </w:numPr>
        <w:spacing w:after="80"/>
      </w:pPr>
      <w:r>
        <w:t>Every inference: model + version, prompt hash, sanitized input/output, timestamp</w:t>
      </w:r>
    </w:p>
    <w:p w:rsidR="005E004D" w:rsidRDefault="005D13D7">
      <w:pPr>
        <w:pStyle w:val="ListParagraph"/>
        <w:numPr>
          <w:ilvl w:val="0"/>
          <w:numId w:val="2"/>
        </w:numPr>
        <w:spacing w:after="80"/>
      </w:pPr>
      <w:r>
        <w:t>Every de-identification and re-tokenization event, with pass/fail on residual-PHI checks</w:t>
      </w:r>
    </w:p>
    <w:p w:rsidR="005E004D" w:rsidRDefault="005D13D7">
      <w:pPr>
        <w:pStyle w:val="ListParagraph"/>
        <w:numPr>
          <w:ilvl w:val="0"/>
          <w:numId w:val="2"/>
        </w:numPr>
        <w:spacing w:after="80"/>
      </w:pPr>
      <w:r>
        <w:t>Every clinician action: accept, modify, reject, and the override reason if one is given</w:t>
      </w:r>
    </w:p>
    <w:p w:rsidR="005E004D" w:rsidRDefault="005D13D7">
      <w:pPr>
        <w:pStyle w:val="ListParagraph"/>
        <w:numPr>
          <w:ilvl w:val="0"/>
          <w:numId w:val="2"/>
        </w:numPr>
        <w:spacing w:after="80"/>
      </w:pPr>
      <w:r>
        <w:t>Every external call: vendor, BAA reference, and routing decision (allowed/block</w:t>
      </w:r>
      <w:r>
        <w:t>ed)</w:t>
      </w:r>
    </w:p>
    <w:p w:rsidR="005E004D" w:rsidRDefault="005E004D">
      <w:pPr>
        <w:spacing w:after="120"/>
      </w:pPr>
    </w:p>
    <w:p w:rsidR="005E004D" w:rsidRDefault="005D13D7">
      <w:pPr>
        <w:pStyle w:val="Heading2"/>
      </w:pPr>
      <w:bookmarkStart w:id="7" w:name="_Toc233902833"/>
      <w:r>
        <w:t>How it is protected</w:t>
      </w:r>
      <w:bookmarkEnd w:id="7"/>
    </w:p>
    <w:p w:rsidR="005E004D" w:rsidRDefault="005D13D7">
      <w:pPr>
        <w:pStyle w:val="ListParagraph"/>
        <w:numPr>
          <w:ilvl w:val="0"/>
          <w:numId w:val="2"/>
        </w:numPr>
        <w:spacing w:after="80"/>
      </w:pPr>
      <w:r>
        <w:t>Append-only — log entries cannot be edited or deleted, only added</w:t>
      </w:r>
    </w:p>
    <w:p w:rsidR="005E004D" w:rsidRDefault="005D13D7">
      <w:pPr>
        <w:pStyle w:val="ListParagraph"/>
        <w:numPr>
          <w:ilvl w:val="0"/>
          <w:numId w:val="2"/>
        </w:numPr>
        <w:spacing w:after="80"/>
      </w:pPr>
      <w:r>
        <w:t>Integrity monitoring on the log itself, separate from the systems it observes</w:t>
      </w:r>
    </w:p>
    <w:p w:rsidR="005E004D" w:rsidRDefault="005D13D7">
      <w:pPr>
        <w:pStyle w:val="ListParagraph"/>
        <w:numPr>
          <w:ilvl w:val="0"/>
          <w:numId w:val="2"/>
        </w:numPr>
        <w:spacing w:after="80"/>
      </w:pPr>
      <w:r>
        <w:t>Retention aligned to HIPAA: 6 years minimum</w:t>
      </w:r>
    </w:p>
    <w:p w:rsidR="005E004D" w:rsidRDefault="005E004D">
      <w:pPr>
        <w:spacing w:after="120"/>
      </w:pPr>
    </w:p>
    <w:p w:rsidR="005E004D" w:rsidRDefault="005D13D7">
      <w:pPr>
        <w:pStyle w:val="Heading2"/>
      </w:pPr>
      <w:bookmarkStart w:id="8" w:name="_Toc233902834"/>
      <w:r>
        <w:t>How it plugs into breach response</w:t>
      </w:r>
      <w:bookmarkEnd w:id="8"/>
    </w:p>
    <w:p w:rsidR="005E004D" w:rsidRDefault="005D13D7">
      <w:pPr>
        <w:spacing w:after="160"/>
      </w:pPr>
      <w:r>
        <w:t>The audit trail feeds a documented breach decision tree: anomaly detected → investigation using the log → severity assessment → covered-entity notification, timed to satisfy HIPAA's 60-day clock. Pre-drafted notification templates keep that path fast rathe</w:t>
      </w:r>
      <w:r>
        <w:t>r than improvised.</w:t>
      </w:r>
    </w:p>
    <w:p w:rsidR="005E004D" w:rsidRDefault="005D13D7">
      <w:pPr>
        <w:pStyle w:val="Heading1"/>
      </w:pPr>
      <w:bookmarkStart w:id="9" w:name="_Toc233902835"/>
      <w:r>
        <w:t>4. How Guardrails and Audits Work Together</w:t>
      </w:r>
      <w:bookmarkEnd w:id="9"/>
    </w:p>
    <w:p w:rsidR="005E004D" w:rsidRDefault="005D13D7">
      <w:pPr>
        <w:spacing w:after="160"/>
      </w:pPr>
      <w:r>
        <w:t xml:space="preserve">Think of it as two layers with different jobs. Guardrails are the real-time layer: they stop an unsafe event before it completes — blocking an ungoverned vendor call, suppressing a hallucinated </w:t>
      </w:r>
      <w:r>
        <w:t>value, refusing to write to the chart without clinician sign-off. Audits are the record-keeping layer: they capture what happened at every step so that (a) anything a guardrail didn't catch is visible quickly, (b) the monthly AI Governance Review can re-sc</w:t>
      </w:r>
      <w:r>
        <w:t>ore risk with real data, and (c) a regulator, clinic, or investor can be shown proof rather than a promise.</w:t>
      </w:r>
    </w:p>
    <w:p w:rsidR="005E004D" w:rsidRDefault="005D13D7">
      <w:pPr>
        <w:spacing w:after="160"/>
      </w:pPr>
      <w:r>
        <w:t>Neither layer is sufficient alone. Guardrails without audits can fail silently. Audits without guardrails only document a breach after it already ha</w:t>
      </w:r>
      <w:r>
        <w:t>ppened. Used together, they form a closed loop: guardrail prevents → audit records → governance review re-tunes thresholds and rules → guardrail improves.</w:t>
      </w:r>
    </w:p>
    <w:p w:rsidR="005E004D" w:rsidRDefault="005E004D">
      <w:pPr>
        <w:spacing w:after="200"/>
      </w:pPr>
    </w:p>
    <w:p w:rsidR="005E004D" w:rsidRDefault="005D13D7">
      <w:pPr>
        <w:pStyle w:val="Heading1"/>
      </w:pPr>
      <w:bookmarkStart w:id="10" w:name="_Toc233902836"/>
      <w:r>
        <w:t>5. Go / No-Go Gates for Secure Data Exchange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5E004D">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Gate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Focus</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What has to be true before real PHI flows</w:t>
            </w:r>
          </w:p>
        </w:tc>
      </w:tr>
      <w:tr w:rsidR="005E004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G</w:t>
            </w:r>
            <w:r>
              <w:rPr>
                <w:sz w:val="20"/>
                <w:szCs w:val="20"/>
              </w:rPr>
              <w:t>ate A — Legal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Contracts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BAAs executed with every clinic and every sub-processor (cloud host, OpenAI, Anthropic)</w:t>
            </w:r>
          </w:p>
        </w:tc>
      </w:tr>
      <w:tr w:rsidR="005E004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Gate B — Privacy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De-identification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Presidio recall meets threshold on representative clinical text; no residual PHI in testing</w:t>
            </w:r>
          </w:p>
        </w:tc>
      </w:tr>
      <w:tr w:rsidR="005E004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Gate C — Safety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AI behavior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Hallucination, prompt-injection, and human-in-the-loop tests all pass</w:t>
            </w:r>
          </w:p>
        </w:tc>
      </w:tr>
      <w:tr w:rsidR="005E004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lastRenderedPageBreak/>
              <w:t>Gate D — Operational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Infrastructure</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Audit logging verified end-to-end; rollback tested; incident runbook rehearsed</w:t>
            </w:r>
          </w:p>
        </w:tc>
      </w:tr>
      <w:tr w:rsidR="005E004D">
        <w:tblPrEx>
          <w:tblCellMar>
            <w:top w:w="0" w:type="dxa"/>
            <w:bottom w:w="0" w:type="dxa"/>
          </w:tblCellMar>
        </w:tblPrEx>
        <w:tc>
          <w:tcPr>
            <w:tcW w:w="9360" w:type="dxa"/>
            <w:gridSpan w:val="3"/>
            <w:tcBorders>
              <w:top w:val="single" w:sz="4" w:space="0" w:color="C00000"/>
              <w:left w:val="single" w:sz="4" w:space="0" w:color="C00000"/>
              <w:bottom w:val="single" w:sz="4" w:space="0" w:color="C00000"/>
              <w:right w:val="single" w:sz="4" w:space="0" w:color="C00000"/>
            </w:tcBorders>
            <w:shd w:val="clear" w:color="auto" w:fill="D9E6F2"/>
            <w:tcMar>
              <w:top w:w="160" w:type="dxa"/>
              <w:left w:w="200" w:type="dxa"/>
              <w:bottom w:w="160" w:type="dxa"/>
              <w:right w:w="200" w:type="dxa"/>
            </w:tcMar>
          </w:tcPr>
          <w:p w:rsidR="005E004D" w:rsidRDefault="005D13D7">
            <w:pPr>
              <w:spacing w:after="80"/>
            </w:pPr>
            <w:r>
              <w:rPr>
                <w:b/>
                <w:bCs/>
                <w:color w:val="C00000"/>
                <w:sz w:val="20"/>
                <w:szCs w:val="20"/>
              </w:rPr>
              <w:t>RULE</w:t>
            </w:r>
          </w:p>
          <w:p w:rsidR="005E004D" w:rsidRDefault="005D13D7">
            <w:r>
              <w:rPr>
                <w:sz w:val="20"/>
                <w:szCs w:val="20"/>
              </w:rPr>
              <w:t>A ‘Critical’ open item on any gate is an absolute launch blocker. Gates are re-evaluated for every new feature, model, prompt, or sub-processor — secure data exchange is a standing requirement, not a one-time checkbox.</w:t>
            </w:r>
          </w:p>
        </w:tc>
      </w:tr>
    </w:tbl>
    <w:p w:rsidR="005E004D" w:rsidRDefault="005D13D7">
      <w:r>
        <w:br w:type="page"/>
      </w:r>
    </w:p>
    <w:p w:rsidR="005E004D" w:rsidRDefault="005D13D7">
      <w:pPr>
        <w:pStyle w:val="Heading1"/>
      </w:pPr>
      <w:bookmarkStart w:id="11" w:name="_Toc233902837"/>
      <w:r>
        <w:lastRenderedPageBreak/>
        <w:t>6. Can Synapta Use RAG?</w:t>
      </w:r>
      <w:bookmarkEnd w:id="11"/>
    </w:p>
    <w:p w:rsidR="005E004D" w:rsidRDefault="005D13D7">
      <w:pPr>
        <w:spacing w:after="160"/>
      </w:pPr>
      <w:r>
        <w:t>Yes — and it already appears in Synapta's design. The hallucination-detection guardrail described above (verifying every cited clinical value against the patient's FHIR chart before display) is a Retrieval-Augmented Generation pattern: the model's output i</w:t>
      </w:r>
      <w:r>
        <w:t>s grounded in retrieved, authoritative data rather than left to generate facts unsupervised. Used this way, RAG is a guardrail in itself — it reduces fabrication risk rather than adding it.</w:t>
      </w:r>
    </w:p>
    <w:p w:rsidR="005E004D" w:rsidRDefault="005D13D7">
      <w:pPr>
        <w:spacing w:after="160"/>
      </w:pPr>
      <w:r>
        <w:t>RAG is also a good fit for a compliance-first posture generally: i</w:t>
      </w:r>
      <w:r>
        <w:t>t lets Synapta show provenance (which source record backed a given output), which is exactly what the FDA non-device CDS safe harbor and ONC HTI-1 transparency expectations call for.</w:t>
      </w:r>
    </w:p>
    <w:p w:rsidR="005E004D" w:rsidRDefault="005D13D7">
      <w:pPr>
        <w:pStyle w:val="Heading2"/>
      </w:pPr>
      <w:bookmarkStart w:id="12" w:name="_Toc233902838"/>
      <w:r>
        <w:t>What has to be true for RAG to stay inside the secure boundary</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E004D">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Considerat</w:t>
            </w:r>
            <w:r>
              <w:rPr>
                <w:b/>
                <w:bCs/>
                <w:color w:val="FFFFFF"/>
                <w:sz w:val="20"/>
                <w:szCs w:val="20"/>
              </w:rPr>
              <w:t>ion</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rsidR="005E004D" w:rsidRDefault="005D13D7">
            <w:r>
              <w:rPr>
                <w:b/>
                <w:bCs/>
                <w:color w:val="FFFFFF"/>
                <w:sz w:val="20"/>
                <w:szCs w:val="20"/>
              </w:rPr>
              <w:t>Requirement</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Where retrieval happens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The retrieval store (FHIR data, vector index, or document index) must sit inside Synapta's existing PHI security boundary — encrypted, access-controlled, and covered by the same safeguards as the rest of the system.</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Embeddings are still PHI</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If clinical text is embedded into a vector store, those embeddings can encode PHI. The same rule from the governance plan applies: de-identification/tokenization is pseudonymization, not anonymization — embeddings built from identifiable clinical text rema</w:t>
            </w:r>
            <w:r>
              <w:rPr>
                <w:sz w:val="20"/>
                <w:szCs w:val="20"/>
              </w:rPr>
              <w:t>in in HIPAA scope.</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Third-party embedding or vector-DB services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Any external embedding API or hosted vector database that touches clinical text needs its own signed BAA before use, exactly like the LLM vendors.</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Per-patient / per-tenant scoping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Retrieval must be scoped so one patient's or one clinic's records can never be retrieved into another's context — row-level or tenant-level access control on the retrieval layer, not just on the application layer.</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Provenance display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Continue showing the retrieved source (FHIR resource IDs, document, guideline) alongside the AI output, so the clinician can independently verify — this is already a required guardrail and RAG supports it directly.</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Logging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rsidR="005E004D" w:rsidRDefault="005D13D7">
            <w:r>
              <w:rPr>
                <w:sz w:val="20"/>
                <w:szCs w:val="20"/>
              </w:rPr>
              <w:t>Retrieval events (what was fetched, from where, for which query) should be captured in the same append-only audit log as inference events.</w:t>
            </w:r>
          </w:p>
        </w:tc>
      </w:tr>
      <w:tr w:rsidR="005E004D">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Testing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5E004D" w:rsidRDefault="005D13D7">
            <w:r>
              <w:rPr>
                <w:sz w:val="20"/>
                <w:szCs w:val="20"/>
              </w:rPr>
              <w:t>Add RAG-specific cases to the existing test battery: retrieval-scoping test (no cross-patient leakage) and grounding-accuracy test (retrieved content actually supports the generated claim).</w:t>
            </w:r>
          </w:p>
        </w:tc>
      </w:tr>
    </w:tbl>
    <w:p w:rsidR="005E004D" w:rsidRDefault="005E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004D">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9E6F2"/>
            <w:tcMar>
              <w:top w:w="160" w:type="dxa"/>
              <w:left w:w="200" w:type="dxa"/>
              <w:bottom w:w="160" w:type="dxa"/>
              <w:right w:w="200" w:type="dxa"/>
            </w:tcMar>
          </w:tcPr>
          <w:p w:rsidR="005E004D" w:rsidRDefault="005D13D7">
            <w:pPr>
              <w:spacing w:after="80"/>
            </w:pPr>
            <w:r>
              <w:rPr>
                <w:b/>
                <w:bCs/>
                <w:color w:val="2E75B6"/>
                <w:sz w:val="20"/>
                <w:szCs w:val="20"/>
              </w:rPr>
              <w:t>BOTTOM LINE ON RAG</w:t>
            </w:r>
          </w:p>
          <w:p w:rsidR="005E004D" w:rsidRDefault="005D13D7">
            <w:r>
              <w:rPr>
                <w:sz w:val="20"/>
                <w:szCs w:val="20"/>
              </w:rPr>
              <w:t>Synapta can use RAG, and arguably already relies on it for hallucination detection. The condition is the same one that governs every other AI data flow: whatever touches PHI — including a vector store or retrieval index — sits inside the BAA-covered, de-id</w:t>
            </w:r>
            <w:r>
              <w:rPr>
                <w:sz w:val="20"/>
                <w:szCs w:val="20"/>
              </w:rPr>
              <w:t>entified, audited boundary. RAG grounding improves safety; it does not change what counts as PHI or who needs a BAA.</w:t>
            </w:r>
          </w:p>
        </w:tc>
      </w:tr>
    </w:tbl>
    <w:p w:rsidR="005E004D" w:rsidRDefault="005E004D">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E004D">
        <w:tblPrEx>
          <w:tblCellMar>
            <w:top w:w="0" w:type="dxa"/>
            <w:bottom w:w="0" w:type="dxa"/>
          </w:tblCellMar>
        </w:tblPrEx>
        <w:tc>
          <w:tcPr>
            <w:tcW w:w="9360" w:type="dxa"/>
            <w:tcBorders>
              <w:top w:val="single" w:sz="4" w:space="0" w:color="666666"/>
              <w:left w:val="single" w:sz="4" w:space="0" w:color="666666"/>
              <w:bottom w:val="single" w:sz="4" w:space="0" w:color="666666"/>
              <w:right w:val="single" w:sz="4" w:space="0" w:color="666666"/>
            </w:tcBorders>
            <w:shd w:val="clear" w:color="auto" w:fill="D9E6F2"/>
            <w:tcMar>
              <w:top w:w="160" w:type="dxa"/>
              <w:left w:w="200" w:type="dxa"/>
              <w:bottom w:w="160" w:type="dxa"/>
              <w:right w:w="200" w:type="dxa"/>
            </w:tcMar>
          </w:tcPr>
          <w:p w:rsidR="005E004D" w:rsidRDefault="005D13D7">
            <w:pPr>
              <w:spacing w:after="80"/>
            </w:pPr>
            <w:r>
              <w:rPr>
                <w:b/>
                <w:bCs/>
                <w:color w:val="666666"/>
                <w:sz w:val="20"/>
                <w:szCs w:val="20"/>
              </w:rPr>
              <w:lastRenderedPageBreak/>
              <w:t>ADVISORY NOTICE</w:t>
            </w:r>
          </w:p>
          <w:p w:rsidR="005E004D" w:rsidRDefault="005D13D7">
            <w:r>
              <w:rPr>
                <w:sz w:val="20"/>
                <w:szCs w:val="20"/>
              </w:rPr>
              <w:t>This document is an internal engineering and compliance reference for product and architecture decisions. It is not legal advice. Confirm BAA coverage, de-identification thresholds, and RAG/vector-store data flows with qualified healthcare regulatory couns</w:t>
            </w:r>
            <w:r>
              <w:rPr>
                <w:sz w:val="20"/>
                <w:szCs w:val="20"/>
              </w:rPr>
              <w:t>el and Security/Privacy Officers before processing real patient data.</w:t>
            </w:r>
          </w:p>
        </w:tc>
      </w:tr>
    </w:tbl>
    <w:p w:rsidR="005D13D7" w:rsidRDefault="005D13D7"/>
    <w:sectPr w:rsidR="005D13D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D13D7" w:rsidRDefault="005D13D7">
      <w:r>
        <w:separator/>
      </w:r>
    </w:p>
  </w:endnote>
  <w:endnote w:type="continuationSeparator" w:id="0">
    <w:p w:rsidR="005D13D7" w:rsidRDefault="005D1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04D" w:rsidRDefault="005D13D7">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sidR="00FC1AC4">
      <w:rPr>
        <w:color w:val="888888"/>
        <w:sz w:val="16"/>
        <w:szCs w:val="16"/>
      </w:rPr>
      <w:fldChar w:fldCharType="separate"/>
    </w:r>
    <w:r w:rsidR="00FC1AC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D13D7" w:rsidRDefault="005D13D7">
      <w:r>
        <w:separator/>
      </w:r>
    </w:p>
  </w:footnote>
  <w:footnote w:type="continuationSeparator" w:id="0">
    <w:p w:rsidR="005D13D7" w:rsidRDefault="005D13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004D" w:rsidRDefault="005D13D7">
    <w:pPr>
      <w:jc w:val="right"/>
    </w:pPr>
    <w:r>
      <w:rPr>
        <w:color w:val="888888"/>
        <w:sz w:val="16"/>
        <w:szCs w:val="16"/>
      </w:rPr>
      <w:t>Synapta Health — Secure Data Exchange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FE18E0"/>
    <w:multiLevelType w:val="hybridMultilevel"/>
    <w:tmpl w:val="F0DE0618"/>
    <w:lvl w:ilvl="0" w:tplc="23F258FC">
      <w:start w:val="1"/>
      <w:numFmt w:val="bullet"/>
      <w:lvlText w:val="●"/>
      <w:lvlJc w:val="left"/>
      <w:pPr>
        <w:ind w:left="720" w:hanging="360"/>
      </w:pPr>
    </w:lvl>
    <w:lvl w:ilvl="1" w:tplc="38EE6162">
      <w:start w:val="1"/>
      <w:numFmt w:val="bullet"/>
      <w:lvlText w:val="○"/>
      <w:lvlJc w:val="left"/>
      <w:pPr>
        <w:ind w:left="1440" w:hanging="360"/>
      </w:pPr>
    </w:lvl>
    <w:lvl w:ilvl="2" w:tplc="76308B4A">
      <w:start w:val="1"/>
      <w:numFmt w:val="bullet"/>
      <w:lvlText w:val="■"/>
      <w:lvlJc w:val="left"/>
      <w:pPr>
        <w:ind w:left="2160" w:hanging="360"/>
      </w:pPr>
    </w:lvl>
    <w:lvl w:ilvl="3" w:tplc="26B8EE0C">
      <w:start w:val="1"/>
      <w:numFmt w:val="bullet"/>
      <w:lvlText w:val="●"/>
      <w:lvlJc w:val="left"/>
      <w:pPr>
        <w:ind w:left="2880" w:hanging="360"/>
      </w:pPr>
    </w:lvl>
    <w:lvl w:ilvl="4" w:tplc="03FE7864">
      <w:start w:val="1"/>
      <w:numFmt w:val="bullet"/>
      <w:lvlText w:val="○"/>
      <w:lvlJc w:val="left"/>
      <w:pPr>
        <w:ind w:left="3600" w:hanging="360"/>
      </w:pPr>
    </w:lvl>
    <w:lvl w:ilvl="5" w:tplc="32540C64">
      <w:start w:val="1"/>
      <w:numFmt w:val="bullet"/>
      <w:lvlText w:val="■"/>
      <w:lvlJc w:val="left"/>
      <w:pPr>
        <w:ind w:left="4320" w:hanging="360"/>
      </w:pPr>
    </w:lvl>
    <w:lvl w:ilvl="6" w:tplc="A7726F6C">
      <w:start w:val="1"/>
      <w:numFmt w:val="bullet"/>
      <w:lvlText w:val="●"/>
      <w:lvlJc w:val="left"/>
      <w:pPr>
        <w:ind w:left="5040" w:hanging="360"/>
      </w:pPr>
    </w:lvl>
    <w:lvl w:ilvl="7" w:tplc="18B07986">
      <w:start w:val="1"/>
      <w:numFmt w:val="bullet"/>
      <w:lvlText w:val="●"/>
      <w:lvlJc w:val="left"/>
      <w:pPr>
        <w:ind w:left="5760" w:hanging="360"/>
      </w:pPr>
    </w:lvl>
    <w:lvl w:ilvl="8" w:tplc="74486A98">
      <w:start w:val="1"/>
      <w:numFmt w:val="bullet"/>
      <w:lvlText w:val="●"/>
      <w:lvlJc w:val="left"/>
      <w:pPr>
        <w:ind w:left="6480" w:hanging="360"/>
      </w:pPr>
    </w:lvl>
  </w:abstractNum>
  <w:abstractNum w:abstractNumId="1" w15:restartNumberingAfterBreak="0">
    <w:nsid w:val="5FF50120"/>
    <w:multiLevelType w:val="hybridMultilevel"/>
    <w:tmpl w:val="A2425064"/>
    <w:lvl w:ilvl="0" w:tplc="9F2004EA">
      <w:start w:val="1"/>
      <w:numFmt w:val="bullet"/>
      <w:lvlText w:val="•"/>
      <w:lvlJc w:val="left"/>
      <w:pPr>
        <w:ind w:left="720" w:hanging="360"/>
      </w:pPr>
    </w:lvl>
    <w:lvl w:ilvl="1" w:tplc="FD0AF348">
      <w:numFmt w:val="decimal"/>
      <w:lvlText w:val=""/>
      <w:lvlJc w:val="left"/>
    </w:lvl>
    <w:lvl w:ilvl="2" w:tplc="B388EEBA">
      <w:numFmt w:val="decimal"/>
      <w:lvlText w:val=""/>
      <w:lvlJc w:val="left"/>
    </w:lvl>
    <w:lvl w:ilvl="3" w:tplc="D792AF9A">
      <w:numFmt w:val="decimal"/>
      <w:lvlText w:val=""/>
      <w:lvlJc w:val="left"/>
    </w:lvl>
    <w:lvl w:ilvl="4" w:tplc="5966253E">
      <w:numFmt w:val="decimal"/>
      <w:lvlText w:val=""/>
      <w:lvlJc w:val="left"/>
    </w:lvl>
    <w:lvl w:ilvl="5" w:tplc="214A74F6">
      <w:numFmt w:val="decimal"/>
      <w:lvlText w:val=""/>
      <w:lvlJc w:val="left"/>
    </w:lvl>
    <w:lvl w:ilvl="6" w:tplc="65641D50">
      <w:numFmt w:val="decimal"/>
      <w:lvlText w:val=""/>
      <w:lvlJc w:val="left"/>
    </w:lvl>
    <w:lvl w:ilvl="7" w:tplc="01FEDE44">
      <w:numFmt w:val="decimal"/>
      <w:lvlText w:val=""/>
      <w:lvlJc w:val="left"/>
    </w:lvl>
    <w:lvl w:ilvl="8" w:tplc="6092216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04D"/>
    <w:rsid w:val="005D13D7"/>
    <w:rsid w:val="005E004D"/>
    <w:rsid w:val="00FC1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073E39-35F8-40CE-8886-A346C682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E75B6"/>
      </w:pBdr>
      <w:spacing w:before="360" w:after="200"/>
      <w:outlineLvl w:val="0"/>
    </w:pPr>
    <w:rPr>
      <w:b/>
      <w:bCs/>
      <w:color w:val="1F3864"/>
      <w:sz w:val="30"/>
      <w:szCs w:val="30"/>
    </w:rPr>
  </w:style>
  <w:style w:type="paragraph" w:styleId="Heading2">
    <w:name w:val="heading 2"/>
    <w:qFormat/>
    <w:pPr>
      <w:spacing w:before="260" w:after="14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120"/>
    </w:pPr>
    <w:rPr>
      <w:b/>
      <w:bCs/>
      <w:color w:val="1F3864"/>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1AC4"/>
    <w:pPr>
      <w:spacing w:after="100"/>
    </w:pPr>
  </w:style>
  <w:style w:type="paragraph" w:styleId="TOC2">
    <w:name w:val="toc 2"/>
    <w:basedOn w:val="Normal"/>
    <w:next w:val="Normal"/>
    <w:autoRedefine/>
    <w:uiPriority w:val="39"/>
    <w:unhideWhenUsed/>
    <w:rsid w:val="00FC1AC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1757</Words>
  <Characters>10015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Sanchit Ashtekar</cp:lastModifiedBy>
  <cp:revision>2</cp:revision>
  <dcterms:created xsi:type="dcterms:W3CDTF">2026-07-02T11:08:00Z</dcterms:created>
  <dcterms:modified xsi:type="dcterms:W3CDTF">2026-07-02T11:11:00Z</dcterms:modified>
</cp:coreProperties>
</file>