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1ADF" w:rsidRDefault="00DB0409">
      <w:pPr>
        <w:spacing w:before="1800"/>
      </w:pPr>
      <w:r>
        <w:rPr>
          <w:b/>
          <w:bCs/>
          <w:color w:val="0F6E56"/>
          <w:spacing w:val="60"/>
          <w:sz w:val="30"/>
          <w:szCs w:val="30"/>
        </w:rPr>
        <w:t>SYNAPTA HEALTH</w:t>
      </w:r>
    </w:p>
    <w:p w:rsidR="00B31ADF" w:rsidRDefault="00B31ADF">
      <w:pPr>
        <w:pBdr>
          <w:bottom w:val="single" w:sz="14" w:space="8" w:color="5DCAA5"/>
        </w:pBdr>
        <w:spacing w:before="40"/>
      </w:pPr>
    </w:p>
    <w:p w:rsidR="00B31ADF" w:rsidRDefault="00DB0409">
      <w:pPr>
        <w:spacing w:before="360"/>
      </w:pPr>
      <w:r>
        <w:rPr>
          <w:b/>
          <w:bCs/>
          <w:sz w:val="52"/>
          <w:szCs w:val="52"/>
        </w:rPr>
        <w:t>MVP Compliance &amp;</w:t>
      </w:r>
    </w:p>
    <w:p w:rsidR="00B31ADF" w:rsidRDefault="00DB0409">
      <w:r>
        <w:rPr>
          <w:b/>
          <w:bCs/>
          <w:sz w:val="52"/>
          <w:szCs w:val="52"/>
        </w:rPr>
        <w:t>AI Governance Plan</w:t>
      </w:r>
    </w:p>
    <w:p w:rsidR="00B31ADF" w:rsidRDefault="00DB0409">
      <w:pPr>
        <w:spacing w:before="240"/>
      </w:pPr>
      <w:r>
        <w:rPr>
          <w:i/>
          <w:iCs/>
          <w:color w:val="5F5E5A"/>
          <w:sz w:val="24"/>
          <w:szCs w:val="24"/>
        </w:rPr>
        <w:t>Regulatory frameworks · risk &amp; mitigation · testing · guardrails · governance</w:t>
      </w:r>
    </w:p>
    <w:p w:rsidR="00B31ADF" w:rsidRDefault="00DB0409">
      <w:pPr>
        <w:spacing w:before="900"/>
      </w:pPr>
      <w:r>
        <w:rPr>
          <w:b/>
          <w:bCs/>
          <w:color w:val="0F6E56"/>
          <w:sz w:val="22"/>
          <w:szCs w:val="22"/>
        </w:rPr>
        <w:t xml:space="preserve">Scope:  </w:t>
      </w:r>
      <w:r>
        <w:rPr>
          <w:sz w:val="22"/>
          <w:szCs w:val="22"/>
        </w:rPr>
        <w:t>Phase 1 AI-First MVP — Ambient Documentation, Smart Templates, AI Results Inbox, Basic CDS</w:t>
      </w:r>
    </w:p>
    <w:p w:rsidR="00B31ADF" w:rsidRDefault="00DB0409">
      <w:pPr>
        <w:spacing w:before="120"/>
      </w:pPr>
      <w:r>
        <w:rPr>
          <w:b/>
          <w:bCs/>
          <w:color w:val="0F6E56"/>
          <w:sz w:val="22"/>
          <w:szCs w:val="22"/>
        </w:rPr>
        <w:t xml:space="preserve">Prepared by:  </w:t>
      </w:r>
      <w:r>
        <w:rPr>
          <w:sz w:val="22"/>
          <w:szCs w:val="22"/>
        </w:rPr>
        <w:t>Compliance &amp;</w:t>
      </w:r>
      <w:r>
        <w:rPr>
          <w:sz w:val="22"/>
          <w:szCs w:val="22"/>
        </w:rPr>
        <w:t xml:space="preserve"> Legal (advisory)</w:t>
      </w:r>
    </w:p>
    <w:p w:rsidR="00B31ADF" w:rsidRDefault="00DB0409">
      <w:pPr>
        <w:spacing w:before="120"/>
      </w:pPr>
      <w:r>
        <w:rPr>
          <w:b/>
          <w:bCs/>
          <w:color w:val="0F6E56"/>
          <w:sz w:val="22"/>
          <w:szCs w:val="22"/>
        </w:rPr>
        <w:t xml:space="preserve">Date:  </w:t>
      </w:r>
      <w:r>
        <w:rPr>
          <w:sz w:val="22"/>
          <w:szCs w:val="22"/>
        </w:rPr>
        <w:t>June 2026  ·  Version 1.0</w:t>
      </w:r>
    </w:p>
    <w:p w:rsidR="00B31ADF" w:rsidRDefault="00DB0409">
      <w:pPr>
        <w:spacing w:before="120"/>
      </w:pPr>
      <w:r>
        <w:rPr>
          <w:b/>
          <w:bCs/>
          <w:color w:val="0F6E56"/>
          <w:sz w:val="22"/>
          <w:szCs w:val="22"/>
        </w:rPr>
        <w:t xml:space="preserve">Classification:  </w:t>
      </w:r>
      <w:r>
        <w:rPr>
          <w:sz w:val="22"/>
          <w:szCs w:val="22"/>
        </w:rPr>
        <w:t>Confidential — Internal</w:t>
      </w:r>
    </w:p>
    <w:p w:rsidR="00B31ADF" w:rsidRDefault="00B31ADF">
      <w:pPr>
        <w:spacing w:after="7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1AD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BF3DD"/>
              <w:left w:val="single" w:sz="24" w:space="0" w:color="B8860B"/>
              <w:bottom w:val="single" w:sz="1" w:space="0" w:color="FBF3DD"/>
              <w:right w:val="single" w:sz="1" w:space="0" w:color="FBF3DD"/>
            </w:tcBorders>
            <w:shd w:val="clear" w:color="auto" w:fill="FBF3DD"/>
            <w:tcMar>
              <w:top w:w="110" w:type="dxa"/>
              <w:left w:w="160" w:type="dxa"/>
              <w:bottom w:w="110" w:type="dxa"/>
              <w:right w:w="140" w:type="dxa"/>
            </w:tcMar>
          </w:tcPr>
          <w:p w:rsidR="00B31ADF" w:rsidRDefault="00DB0409">
            <w:pPr>
              <w:spacing w:after="40"/>
            </w:pPr>
            <w:r>
              <w:rPr>
                <w:b/>
                <w:bCs/>
                <w:color w:val="B8860B"/>
                <w:sz w:val="19"/>
                <w:szCs w:val="19"/>
              </w:rPr>
              <w:t>ADVISORY NOTICE</w:t>
            </w:r>
          </w:p>
          <w:p w:rsidR="00B31ADF" w:rsidRDefault="00DB0409">
            <w:pPr>
              <w:spacing w:line="264" w:lineRule="auto"/>
            </w:pPr>
            <w:r>
              <w:rPr>
                <w:sz w:val="19"/>
                <w:szCs w:val="19"/>
              </w:rPr>
              <w:t>This document is an internal compliance and governance plan prepared for product and engineering decision-making. It is not legal advice. Effective</w:t>
            </w:r>
            <w:r>
              <w:rPr>
                <w:sz w:val="19"/>
                <w:szCs w:val="19"/>
              </w:rPr>
              <w:t xml:space="preserve"> dates and obligations for fast-moving state AI and privacy statutes change frequently — engage qualified healthcare regulatory counsel to validate applicability, certify the FDA CDS analysis, and review all BAAs before processing real patient data.</w:t>
            </w:r>
          </w:p>
        </w:tc>
      </w:tr>
    </w:tbl>
    <w:p w:rsidR="00B31ADF" w:rsidRDefault="00DB0409">
      <w:r>
        <w:br w:type="page"/>
      </w:r>
    </w:p>
    <w:p w:rsidR="00B31ADF" w:rsidRDefault="00DB0409">
      <w:pPr>
        <w:pStyle w:val="Heading1"/>
      </w:pPr>
      <w:r>
        <w:lastRenderedPageBreak/>
        <w:t>Contents</w:t>
      </w:r>
    </w:p>
    <w:p w:rsidR="00B31ADF" w:rsidRDefault="00DB0409">
      <w:pPr>
        <w:tabs>
          <w:tab w:val="right" w:leader="dot" w:pos="9360"/>
        </w:tabs>
        <w:spacing w:before="80" w:after="70"/>
      </w:pPr>
      <w:r>
        <w:rPr>
          <w:b/>
          <w:bCs/>
          <w:color w:val="085041"/>
        </w:rPr>
        <w:t>Executive summary</w:t>
      </w:r>
      <w:r>
        <w:rPr>
          <w:b/>
          <w:bCs/>
          <w:color w:val="085041"/>
        </w:rPr>
        <w:tab/>
        <w:t>3</w:t>
      </w:r>
    </w:p>
    <w:p w:rsidR="00B31ADF" w:rsidRDefault="00DB0409">
      <w:pPr>
        <w:tabs>
          <w:tab w:val="right" w:leader="dot" w:pos="9360"/>
        </w:tabs>
        <w:spacing w:before="80" w:after="70"/>
      </w:pPr>
      <w:r>
        <w:rPr>
          <w:b/>
          <w:bCs/>
          <w:color w:val="085041"/>
        </w:rPr>
        <w:t>1. Applicable regulatory frameworks</w:t>
      </w:r>
      <w:r>
        <w:rPr>
          <w:b/>
          <w:bCs/>
          <w:color w:val="085041"/>
        </w:rPr>
        <w:tab/>
        <w:t>4</w:t>
      </w:r>
    </w:p>
    <w:p w:rsidR="00B31ADF" w:rsidRDefault="00DB0409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1.1  Framework applicability at a glance</w:t>
      </w:r>
      <w:r>
        <w:rPr>
          <w:color w:val="5F5E5A"/>
          <w:sz w:val="20"/>
          <w:szCs w:val="20"/>
        </w:rPr>
        <w:tab/>
        <w:t>4</w:t>
      </w:r>
    </w:p>
    <w:p w:rsidR="00B31ADF" w:rsidRDefault="00DB0409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1.2  HIPAA — the controlling framework</w:t>
      </w:r>
      <w:r>
        <w:rPr>
          <w:color w:val="5F5E5A"/>
          <w:sz w:val="20"/>
          <w:szCs w:val="20"/>
        </w:rPr>
        <w:tab/>
        <w:t>4</w:t>
      </w:r>
    </w:p>
    <w:p w:rsidR="00B31ADF" w:rsidRDefault="00DB0409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1.3  FDA — keeping CDS in the non-device safe harbor</w:t>
      </w:r>
      <w:r>
        <w:rPr>
          <w:color w:val="5F5E5A"/>
          <w:sz w:val="20"/>
          <w:szCs w:val="20"/>
        </w:rPr>
        <w:tab/>
        <w:t>5</w:t>
      </w:r>
    </w:p>
    <w:p w:rsidR="00B31ADF" w:rsidRDefault="00DB0409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1.4  State AI-in-healthcare laws</w:t>
      </w:r>
      <w:r>
        <w:rPr>
          <w:color w:val="5F5E5A"/>
          <w:sz w:val="20"/>
          <w:szCs w:val="20"/>
        </w:rPr>
        <w:tab/>
        <w:t>5</w:t>
      </w:r>
    </w:p>
    <w:p w:rsidR="00B31ADF" w:rsidRDefault="00DB0409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1.5  CCPA/CPRA,</w:t>
      </w:r>
      <w:r>
        <w:rPr>
          <w:sz w:val="20"/>
          <w:szCs w:val="20"/>
        </w:rPr>
        <w:t xml:space="preserve"> CMIA, and the GDPR question</w:t>
      </w:r>
      <w:r>
        <w:rPr>
          <w:color w:val="5F5E5A"/>
          <w:sz w:val="20"/>
          <w:szCs w:val="20"/>
        </w:rPr>
        <w:tab/>
        <w:t>6</w:t>
      </w:r>
    </w:p>
    <w:p w:rsidR="00B31ADF" w:rsidRDefault="00DB0409">
      <w:pPr>
        <w:tabs>
          <w:tab w:val="right" w:leader="dot" w:pos="9360"/>
        </w:tabs>
        <w:spacing w:before="80" w:after="70"/>
      </w:pPr>
      <w:r>
        <w:rPr>
          <w:b/>
          <w:bCs/>
          <w:color w:val="085041"/>
        </w:rPr>
        <w:t>2. Risk analysis &amp; mitigation</w:t>
      </w:r>
      <w:r>
        <w:rPr>
          <w:b/>
          <w:bCs/>
          <w:color w:val="085041"/>
        </w:rPr>
        <w:tab/>
        <w:t>7</w:t>
      </w:r>
    </w:p>
    <w:p w:rsidR="00B31ADF" w:rsidRDefault="00DB0409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2.1  Compliance &amp; legal risks</w:t>
      </w:r>
      <w:r>
        <w:rPr>
          <w:color w:val="5F5E5A"/>
          <w:sz w:val="20"/>
          <w:szCs w:val="20"/>
        </w:rPr>
        <w:tab/>
        <w:t>7</w:t>
      </w:r>
    </w:p>
    <w:p w:rsidR="00B31ADF" w:rsidRDefault="00DB0409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2.2  Operational &amp; clinical-safety risks</w:t>
      </w:r>
      <w:r>
        <w:rPr>
          <w:color w:val="5F5E5A"/>
          <w:sz w:val="20"/>
          <w:szCs w:val="20"/>
        </w:rPr>
        <w:tab/>
        <w:t>7</w:t>
      </w:r>
    </w:p>
    <w:p w:rsidR="00B31ADF" w:rsidRDefault="00DB0409">
      <w:pPr>
        <w:tabs>
          <w:tab w:val="right" w:leader="dot" w:pos="9360"/>
        </w:tabs>
        <w:spacing w:before="80" w:after="70"/>
      </w:pPr>
      <w:r>
        <w:rPr>
          <w:b/>
          <w:bCs/>
          <w:color w:val="085041"/>
        </w:rPr>
        <w:t>3. Testing strategy</w:t>
      </w:r>
      <w:r>
        <w:rPr>
          <w:b/>
          <w:bCs/>
          <w:color w:val="085041"/>
        </w:rPr>
        <w:tab/>
        <w:t>9</w:t>
      </w:r>
    </w:p>
    <w:p w:rsidR="00B31ADF" w:rsidRDefault="00DB0409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3.1  Sandboxing — isolated, synthetic-data environments</w:t>
      </w:r>
      <w:r>
        <w:rPr>
          <w:color w:val="5F5E5A"/>
          <w:sz w:val="20"/>
          <w:szCs w:val="20"/>
        </w:rPr>
        <w:tab/>
        <w:t>9</w:t>
      </w:r>
    </w:p>
    <w:p w:rsidR="00B31ADF" w:rsidRDefault="00DB0409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3.2  A/B testing &amp; shadow evaluation</w:t>
      </w:r>
      <w:r>
        <w:rPr>
          <w:color w:val="5F5E5A"/>
          <w:sz w:val="20"/>
          <w:szCs w:val="20"/>
        </w:rPr>
        <w:tab/>
        <w:t>9</w:t>
      </w:r>
    </w:p>
    <w:p w:rsidR="00B31ADF" w:rsidRDefault="00DB0409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3.3  Safety checks</w:t>
      </w:r>
      <w:r>
        <w:rPr>
          <w:color w:val="5F5E5A"/>
          <w:sz w:val="20"/>
          <w:szCs w:val="20"/>
        </w:rPr>
        <w:tab/>
        <w:t>9</w:t>
      </w:r>
    </w:p>
    <w:p w:rsidR="00B31ADF" w:rsidRDefault="00DB0409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3.4  Go / no-go launch gates</w:t>
      </w:r>
      <w:r>
        <w:rPr>
          <w:color w:val="5F5E5A"/>
          <w:sz w:val="20"/>
          <w:szCs w:val="20"/>
        </w:rPr>
        <w:tab/>
        <w:t>10</w:t>
      </w:r>
    </w:p>
    <w:p w:rsidR="00B31ADF" w:rsidRDefault="00DB0409">
      <w:pPr>
        <w:tabs>
          <w:tab w:val="right" w:leader="dot" w:pos="9360"/>
        </w:tabs>
        <w:spacing w:before="80" w:after="70"/>
      </w:pPr>
      <w:r>
        <w:rPr>
          <w:b/>
          <w:bCs/>
          <w:color w:val="085041"/>
        </w:rPr>
        <w:t>4. Guardrails &amp; oversight</w:t>
      </w:r>
      <w:r>
        <w:rPr>
          <w:b/>
          <w:bCs/>
          <w:color w:val="085041"/>
        </w:rPr>
        <w:tab/>
        <w:t>11</w:t>
      </w:r>
    </w:p>
    <w:p w:rsidR="00B31ADF" w:rsidRDefault="00DB0409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4.1  Technical guardrails (runtime)</w:t>
      </w:r>
      <w:r>
        <w:rPr>
          <w:color w:val="5F5E5A"/>
          <w:sz w:val="20"/>
          <w:szCs w:val="20"/>
        </w:rPr>
        <w:tab/>
        <w:t>11</w:t>
      </w:r>
    </w:p>
    <w:p w:rsidR="00B31ADF" w:rsidRDefault="00DB0409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4.2  Human &amp; organizational oversight</w:t>
      </w:r>
      <w:r>
        <w:rPr>
          <w:color w:val="5F5E5A"/>
          <w:sz w:val="20"/>
          <w:szCs w:val="20"/>
        </w:rPr>
        <w:tab/>
        <w:t>11</w:t>
      </w:r>
    </w:p>
    <w:p w:rsidR="00B31ADF" w:rsidRDefault="00DB0409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4.3  Monitoring &amp; incident response</w:t>
      </w:r>
      <w:r>
        <w:rPr>
          <w:color w:val="5F5E5A"/>
          <w:sz w:val="20"/>
          <w:szCs w:val="20"/>
        </w:rPr>
        <w:tab/>
        <w:t>12</w:t>
      </w:r>
    </w:p>
    <w:p w:rsidR="00B31ADF" w:rsidRDefault="00DB0409">
      <w:pPr>
        <w:tabs>
          <w:tab w:val="right" w:leader="dot" w:pos="9360"/>
        </w:tabs>
        <w:spacing w:before="80" w:after="70"/>
      </w:pPr>
      <w:r>
        <w:rPr>
          <w:b/>
          <w:bCs/>
          <w:color w:val="085041"/>
        </w:rPr>
        <w:t>5. AI governance plan &amp; documentation readiness</w:t>
      </w:r>
      <w:r>
        <w:rPr>
          <w:b/>
          <w:bCs/>
          <w:color w:val="085041"/>
        </w:rPr>
        <w:tab/>
        <w:t>13</w:t>
      </w:r>
    </w:p>
    <w:p w:rsidR="00B31ADF" w:rsidRDefault="00DB0409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5.1</w:t>
      </w:r>
      <w:r>
        <w:rPr>
          <w:sz w:val="20"/>
          <w:szCs w:val="20"/>
        </w:rPr>
        <w:t xml:space="preserve">  Governance operating model</w:t>
      </w:r>
      <w:r>
        <w:rPr>
          <w:color w:val="5F5E5A"/>
          <w:sz w:val="20"/>
          <w:szCs w:val="20"/>
        </w:rPr>
        <w:tab/>
        <w:t>13</w:t>
      </w:r>
    </w:p>
    <w:p w:rsidR="00B31ADF" w:rsidRDefault="00DB0409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5.2  Documentation set (the audit binder)</w:t>
      </w:r>
      <w:r>
        <w:rPr>
          <w:color w:val="5F5E5A"/>
          <w:sz w:val="20"/>
          <w:szCs w:val="20"/>
        </w:rPr>
        <w:tab/>
        <w:t>13</w:t>
      </w:r>
    </w:p>
    <w:p w:rsidR="00B31ADF" w:rsidRDefault="00DB0409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5.3  Compliance readiness — what 'audit-ready' looks like</w:t>
      </w:r>
      <w:r>
        <w:rPr>
          <w:color w:val="5F5E5A"/>
          <w:sz w:val="20"/>
          <w:szCs w:val="20"/>
        </w:rPr>
        <w:tab/>
        <w:t>14</w:t>
      </w:r>
    </w:p>
    <w:p w:rsidR="00B31ADF" w:rsidRDefault="00DB0409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5.4  Suggested sequencing</w:t>
      </w:r>
      <w:r>
        <w:rPr>
          <w:color w:val="5F5E5A"/>
          <w:sz w:val="20"/>
          <w:szCs w:val="20"/>
        </w:rPr>
        <w:tab/>
        <w:t>14</w:t>
      </w:r>
    </w:p>
    <w:p w:rsidR="00B31ADF" w:rsidRDefault="00DB0409">
      <w:r>
        <w:br w:type="page"/>
      </w:r>
    </w:p>
    <w:p w:rsidR="00B31ADF" w:rsidRDefault="00DB0409">
      <w:pPr>
        <w:pStyle w:val="Heading1"/>
      </w:pPr>
      <w:r>
        <w:lastRenderedPageBreak/>
        <w:t>Executive summary</w:t>
      </w:r>
    </w:p>
    <w:p w:rsidR="00B31ADF" w:rsidRDefault="00DB0409">
      <w:pPr>
        <w:spacing w:after="120" w:line="276" w:lineRule="auto"/>
      </w:pPr>
      <w:r>
        <w:t xml:space="preserve">Synapta's MVP processes Protected Health Information (PHI) on behalf </w:t>
      </w:r>
      <w:r>
        <w:t>of independent ambulatory practices and routes clinical data through AI models, including external LLM APIs. That places Synapta squarely in the highest-sensitivity tier of regulated software. The four MVP AI features — ambient documentation, smart templat</w:t>
      </w:r>
      <w:r>
        <w:t>es, the AI results inbox, and basic CDS — each touch clinical decision-making or patient-facing communication, so compliance cannot be a Phase 3 retrofit; it must be built into the MVP from the first encounter.</w:t>
      </w:r>
    </w:p>
    <w:p w:rsidR="00B31ADF" w:rsidRDefault="00DB0409">
      <w:pPr>
        <w:spacing w:after="120" w:line="276" w:lineRule="auto"/>
      </w:pPr>
      <w:r>
        <w:rPr>
          <w:b/>
          <w:bCs/>
        </w:rPr>
        <w:t xml:space="preserve">The single hardest gate is the BAA chain. </w:t>
      </w:r>
      <w:r>
        <w:t>Syn</w:t>
      </w:r>
      <w:r>
        <w:t>apta is a Business Associate to its clinic customers and must, in turn, have signed Business Associate Agreements with every downstream subprocessor that can touch PHI — OpenAI (Whisper + GPT-4o), Anthropic, and the cloud host — before any real patient dat</w:t>
      </w:r>
      <w:r>
        <w:t xml:space="preserve">a flows. The architecture already enforces a PHI de-identification boundary (Microsoft Presidio) ahead of external model calls; that boundary is a strong mitigation but it is </w:t>
      </w:r>
      <w:r>
        <w:rPr>
          <w:b/>
          <w:bCs/>
        </w:rPr>
        <w:t>defense-in-depth, not a substitute</w:t>
      </w:r>
      <w:r>
        <w:t xml:space="preserve"> for executed BAAs, because de-identification i</w:t>
      </w:r>
      <w:r>
        <w:t>s never perfect on free-</w:t>
      </w:r>
      <w:bookmarkStart w:id="0" w:name="_GoBack"/>
      <w:bookmarkEnd w:id="0"/>
      <w:r>
        <w:t>text clinical narrative.</w:t>
      </w:r>
    </w:p>
    <w:p w:rsidR="00B31ADF" w:rsidRDefault="00DB0409">
      <w:pPr>
        <w:spacing w:after="120" w:line="276" w:lineRule="auto"/>
      </w:pPr>
      <w:r>
        <w:t>This plan covers the five requested areas: (1) applicable regulatory frameworks, (2) compliance and operational risk with mitigations, (3) a testing strategy, (4) guardrails and oversight, and (5) an integra</w:t>
      </w:r>
      <w:r>
        <w:t>ted governance and documentation program. The good news: Synapta's existing AI Orchestration Layer already implements many of the right controls (confidence thresholding, hallucination detection against the FHIR chart, append-only audit logging, provenance</w:t>
      </w:r>
      <w:r>
        <w:t xml:space="preserve"> display, human-in-the-loop accept/reject). The work ahead is to formalize, document, and gate them so the program is audit-ready.</w:t>
      </w:r>
    </w:p>
    <w:p w:rsidR="00B31ADF" w:rsidRDefault="00DB0409">
      <w:pPr>
        <w:pStyle w:val="Heading2"/>
      </w:pPr>
      <w:r>
        <w:t>Top five priorities before processing real PHI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3600"/>
        <w:gridCol w:w="5200"/>
      </w:tblGrid>
      <w:tr w:rsidR="00B31AD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5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Why it gates the MVP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b/>
                <w:bCs/>
              </w:rPr>
              <w:t>Execute the full BAA chain</w:t>
            </w:r>
          </w:p>
        </w:tc>
        <w:tc>
          <w:tcPr>
            <w:tcW w:w="5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No real PHI may reach Whisper, GPT-4o, Anthropic, or the cloud host until BAAs are signed. This is an absolute go-live gate.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b/>
                <w:bCs/>
              </w:rPr>
              <w:t>Stand up a no-PHI sandbox</w:t>
            </w:r>
          </w:p>
        </w:tc>
        <w:tc>
          <w:tcPr>
            <w:tcW w:w="5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All pre-launch testing runs on synthetic data only. Real encounters are blocked at the gateway until gates 1, 3, 4 are cleared.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b/>
                <w:bCs/>
              </w:rPr>
              <w:t>Validate the PHI de-identification boundary</w:t>
            </w:r>
          </w:p>
        </w:tc>
        <w:tc>
          <w:tcPr>
            <w:tcW w:w="5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Presidio recall must be measured on representative clinical text; residual-PHI leakage is the highest-likelihood breach path.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b/>
                <w:bCs/>
              </w:rPr>
              <w:t>Confirm non-device CDS posture</w:t>
            </w:r>
          </w:p>
        </w:tc>
        <w:tc>
          <w:tcPr>
            <w:tcW w:w="5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Keep CDS features inside the FDA non-device safe harbor (clinician can independently review the basis) or pursue the regulated path deliberately.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b/>
                <w:bCs/>
              </w:rPr>
              <w:t>Patient-communication AI disclosure</w:t>
            </w:r>
          </w:p>
        </w:tc>
        <w:tc>
          <w:tcPr>
            <w:tcW w:w="5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AI-drafted patient messages trigger state generative-AI disclosure rules (e.g., California AB 3030). Disclaimers + clinician send-review required.</w:t>
            </w:r>
          </w:p>
        </w:tc>
      </w:tr>
    </w:tbl>
    <w:p w:rsidR="00B31ADF" w:rsidRDefault="00DB0409">
      <w:r>
        <w:br w:type="page"/>
      </w:r>
    </w:p>
    <w:p w:rsidR="00B31ADF" w:rsidRDefault="00DB0409">
      <w:pPr>
        <w:pStyle w:val="Heading1"/>
      </w:pPr>
      <w:r>
        <w:lastRenderedPageBreak/>
        <w:t>1. Applicable regulatory frameworks</w:t>
      </w:r>
    </w:p>
    <w:p w:rsidR="00B31ADF" w:rsidRDefault="00DB0409">
      <w:pPr>
        <w:spacing w:after="120" w:line="276" w:lineRule="auto"/>
      </w:pPr>
      <w:r>
        <w:t xml:space="preserve">Synapta's MVP serves </w:t>
      </w:r>
      <w:r>
        <w:rPr>
          <w:b/>
          <w:bCs/>
        </w:rPr>
        <w:t>US-based independent and small-group ambulatory practices</w:t>
      </w:r>
      <w:r>
        <w:t xml:space="preserve">. The framework set is therefore led by US health-privacy law, with AI-specific and consumer-privacy statutes layered on top. GDPR is addressed honestly below: it is </w:t>
      </w:r>
      <w:r>
        <w:rPr>
          <w:b/>
          <w:bCs/>
        </w:rPr>
        <w:t>largely out of scope for the MVP</w:t>
      </w:r>
      <w:r>
        <w:t xml:space="preserve"> </w:t>
      </w:r>
      <w:r>
        <w:t>but is not zero-risk because of the marketing website. Each framework below states whether it applies, what triggers it, and the concrete MVP obligation.</w:t>
      </w:r>
    </w:p>
    <w:p w:rsidR="00B31ADF" w:rsidRDefault="00DB0409">
      <w:pPr>
        <w:pStyle w:val="Heading2"/>
      </w:pPr>
      <w:r>
        <w:t>1.1 Framework applicability at a glance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5460"/>
      </w:tblGrid>
      <w:tr w:rsidR="00B31AD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Framework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Applies to MVP?</w:t>
            </w:r>
          </w:p>
        </w:tc>
        <w:tc>
          <w:tcPr>
            <w:tcW w:w="54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Trigger / scope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8" w:lineRule="auto"/>
            </w:pPr>
            <w:r>
              <w:rPr>
                <w:b/>
                <w:bCs/>
              </w:rPr>
              <w:t>HIPAA (Privacy, Security, Breach Rules)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8" w:lineRule="auto"/>
            </w:pPr>
            <w:r>
              <w:rPr>
                <w:b/>
                <w:bCs/>
                <w:color w:val="0F6E56"/>
                <w:sz w:val="18"/>
                <w:szCs w:val="18"/>
              </w:rPr>
              <w:t>YES — primary</w:t>
            </w:r>
          </w:p>
        </w:tc>
        <w:tc>
          <w:tcPr>
            <w:tcW w:w="54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Synapta creates, receives, maintains, and transmits PHI as a Business Associate to covered-entity clinics.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8" w:lineRule="auto"/>
            </w:pPr>
            <w:r>
              <w:rPr>
                <w:b/>
                <w:bCs/>
              </w:rPr>
              <w:t>HITECH Act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8" w:lineRule="auto"/>
            </w:pPr>
            <w:r>
              <w:rPr>
                <w:b/>
                <w:bCs/>
                <w:color w:val="0F6E56"/>
                <w:sz w:val="18"/>
                <w:szCs w:val="18"/>
              </w:rPr>
              <w:t>YES</w:t>
            </w:r>
          </w:p>
        </w:tc>
        <w:tc>
          <w:tcPr>
            <w:tcW w:w="54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Extends HIPAA; imposes direct BA liability, breach notification timelines, and audit exposure.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8" w:lineRule="auto"/>
            </w:pPr>
            <w:r>
              <w:rPr>
                <w:b/>
                <w:bCs/>
              </w:rPr>
              <w:t>FDA CDS / SaMD (Cures Act §3060)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BF3D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8" w:lineRule="auto"/>
            </w:pPr>
            <w:r>
              <w:rPr>
                <w:b/>
                <w:bCs/>
                <w:color w:val="B8860B"/>
                <w:sz w:val="18"/>
                <w:szCs w:val="18"/>
              </w:rPr>
              <w:t>CONDITIONAL</w:t>
            </w:r>
          </w:p>
        </w:tc>
        <w:tc>
          <w:tcPr>
            <w:tcW w:w="54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Drug-drug/allergy and triage features risk being regulated unless they meet the non-device CDS criteria.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8" w:lineRule="auto"/>
            </w:pPr>
            <w:r>
              <w:rPr>
                <w:b/>
                <w:bCs/>
              </w:rPr>
              <w:t>ONC HTI-1 (Decision Support / DSI)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BF3D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8" w:lineRule="auto"/>
            </w:pPr>
            <w:r>
              <w:rPr>
                <w:b/>
                <w:bCs/>
                <w:color w:val="B8860B"/>
                <w:sz w:val="18"/>
                <w:szCs w:val="18"/>
              </w:rPr>
              <w:t>CONDITIONAL</w:t>
            </w:r>
          </w:p>
        </w:tc>
        <w:tc>
          <w:tcPr>
            <w:tcW w:w="54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Applies if Synapta pursues ONC certification; predictive DSI transparency ('source attributes') becomes mandatory.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8" w:lineRule="auto"/>
            </w:pPr>
            <w:r>
              <w:rPr>
                <w:b/>
                <w:bCs/>
              </w:rPr>
              <w:t>State generative-AI in healthcare laws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8" w:lineRule="auto"/>
            </w:pPr>
            <w:r>
              <w:rPr>
                <w:b/>
                <w:bCs/>
                <w:color w:val="0F6E56"/>
                <w:sz w:val="18"/>
                <w:szCs w:val="18"/>
              </w:rPr>
              <w:t>YES</w:t>
            </w:r>
          </w:p>
        </w:tc>
        <w:tc>
          <w:tcPr>
            <w:tcW w:w="54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AI-drafted patient messages and clinical comms tri</w:t>
            </w:r>
            <w:r>
              <w:rPr>
                <w:sz w:val="19"/>
                <w:szCs w:val="19"/>
              </w:rPr>
              <w:t>gger disclosure/oversight rules (e.g., CA AB 3030, SB 1120).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8" w:lineRule="auto"/>
            </w:pPr>
            <w:r>
              <w:rPr>
                <w:b/>
                <w:bCs/>
              </w:rPr>
              <w:t>CMIA (California)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8" w:lineRule="auto"/>
            </w:pPr>
            <w:r>
              <w:rPr>
                <w:b/>
                <w:bCs/>
                <w:color w:val="0F6E56"/>
                <w:sz w:val="18"/>
                <w:szCs w:val="18"/>
              </w:rPr>
              <w:t>YES (CA clinics)</w:t>
            </w:r>
          </w:p>
        </w:tc>
        <w:tc>
          <w:tcPr>
            <w:tcW w:w="54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California Confidentiality of Medical Information Act; stricter than HIPAA in places; private right of action.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8" w:lineRule="auto"/>
            </w:pPr>
            <w:r>
              <w:rPr>
                <w:b/>
                <w:bCs/>
              </w:rPr>
              <w:t>CCPA / CPRA (California)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BF3D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8" w:lineRule="auto"/>
            </w:pPr>
            <w:r>
              <w:rPr>
                <w:b/>
                <w:bCs/>
                <w:color w:val="B8860B"/>
                <w:sz w:val="18"/>
                <w:szCs w:val="18"/>
              </w:rPr>
              <w:t>PARTIAL</w:t>
            </w:r>
          </w:p>
        </w:tc>
        <w:tc>
          <w:tcPr>
            <w:tcW w:w="54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PHI is exempt, but website visitors, prospects, and employee data are in scope.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8" w:lineRule="auto"/>
            </w:pPr>
            <w:r>
              <w:rPr>
                <w:b/>
                <w:bCs/>
              </w:rPr>
              <w:t>Other state privacy laws (CO, VA, TX, etc.)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BF3D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8" w:lineRule="auto"/>
            </w:pPr>
            <w:r>
              <w:rPr>
                <w:b/>
                <w:bCs/>
                <w:color w:val="B8860B"/>
                <w:sz w:val="18"/>
                <w:szCs w:val="18"/>
              </w:rPr>
              <w:t>PARTIAL</w:t>
            </w:r>
          </w:p>
        </w:tc>
        <w:tc>
          <w:tcPr>
            <w:tcW w:w="54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Same pattern: clinical PHI mostly exempt; marketing/non-PHI data in scope. Colorado AI Act adds high-risk AI duties.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8" w:lineRule="auto"/>
            </w:pPr>
            <w:r>
              <w:rPr>
                <w:b/>
                <w:bCs/>
              </w:rPr>
              <w:t>TCPA / CAN-SPAM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8" w:lineRule="auto"/>
            </w:pPr>
            <w:r>
              <w:rPr>
                <w:b/>
                <w:bCs/>
                <w:color w:val="0F6E56"/>
                <w:sz w:val="18"/>
                <w:szCs w:val="18"/>
              </w:rPr>
              <w:t>YES</w:t>
            </w:r>
          </w:p>
        </w:tc>
        <w:tc>
          <w:tcPr>
            <w:tcW w:w="54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Governs patient SMS/email notifications and all marketing outreach (consent, opt-out).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8" w:lineRule="auto"/>
            </w:pPr>
            <w:r>
              <w:rPr>
                <w:b/>
                <w:bCs/>
              </w:rPr>
              <w:t>42 CFR Part 2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BF3D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8" w:lineRule="auto"/>
            </w:pPr>
            <w:r>
              <w:rPr>
                <w:b/>
                <w:bCs/>
                <w:color w:val="B8860B"/>
                <w:sz w:val="18"/>
                <w:szCs w:val="18"/>
              </w:rPr>
              <w:t>IF APPLICABLE</w:t>
            </w:r>
          </w:p>
        </w:tc>
        <w:tc>
          <w:tcPr>
            <w:tcW w:w="54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Heightened protection for substance-use-disorder records; applies only if a pilot clinic handles SUD data.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8" w:lineRule="auto"/>
            </w:pPr>
            <w:r>
              <w:rPr>
                <w:b/>
                <w:bCs/>
              </w:rPr>
              <w:t>GDPR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8" w:lineRule="auto"/>
            </w:pPr>
            <w:r>
              <w:rPr>
                <w:b/>
                <w:bCs/>
                <w:color w:val="5F5E5A"/>
                <w:sz w:val="18"/>
                <w:szCs w:val="18"/>
              </w:rPr>
              <w:t>LIKELY NO (MVP)</w:t>
            </w:r>
          </w:p>
        </w:tc>
        <w:tc>
          <w:tcPr>
            <w:tcW w:w="54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No EU establishment or intended EU patients. Residual exposure: EU visitors to the marketing site (cookies/analytics).</w:t>
            </w:r>
          </w:p>
        </w:tc>
      </w:tr>
    </w:tbl>
    <w:p w:rsidR="00B31ADF" w:rsidRDefault="00B31ADF">
      <w:pPr>
        <w:spacing w:after="160"/>
      </w:pPr>
    </w:p>
    <w:p w:rsidR="00B31ADF" w:rsidRDefault="00DB0409">
      <w:pPr>
        <w:pStyle w:val="Heading2"/>
      </w:pPr>
      <w:r>
        <w:t>1.2 HIPAA — the controlling framework</w:t>
      </w:r>
    </w:p>
    <w:p w:rsidR="00B31ADF" w:rsidRDefault="00DB0409">
      <w:pPr>
        <w:spacing w:after="120" w:line="276" w:lineRule="auto"/>
      </w:pPr>
      <w:r>
        <w:rPr>
          <w:b/>
          <w:bCs/>
        </w:rPr>
        <w:t xml:space="preserve">Role and the BAA chain. </w:t>
      </w:r>
      <w:r>
        <w:t xml:space="preserve">Synapta is a </w:t>
      </w:r>
      <w:r>
        <w:rPr>
          <w:b/>
          <w:bCs/>
        </w:rPr>
        <w:t>Business Associate</w:t>
      </w:r>
      <w:r>
        <w:t xml:space="preserve"> of each clinic (the Covered Entity). Two obligations flow from this: (a) a signed BAA with each clinic customer, and (b) a signed BAA with every subprocessor that can access PHI — the cloud host, OpenAI (Whisper and GPT-4o), and Anthropic. The de-identifi</w:t>
      </w:r>
      <w:r>
        <w:t xml:space="preserve">cation boundary reduces but does not eliminate PHI exposure to LLM </w:t>
      </w:r>
      <w:r>
        <w:lastRenderedPageBreak/>
        <w:t>vendors, so the conservative and correct posture is to hold BAAs with all of them and to treat de-identified output as a second layer, not a license to skip the BAA.</w:t>
      </w:r>
    </w:p>
    <w:p w:rsidR="00B31ADF" w:rsidRDefault="00DB0409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Privacy Rule — </w:t>
      </w:r>
      <w:r>
        <w:t>apply mi</w:t>
      </w:r>
      <w:r>
        <w:t>nimum-necessary to every AI call; PHI used only for treatment/operations as permitted by the clinic's authorizations. No secondary use (e.g., model training) of identifiable PHI without explicit, separately-documented authorization.</w:t>
      </w:r>
    </w:p>
    <w:p w:rsidR="00B31ADF" w:rsidRDefault="00DB0409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Security Rule — </w:t>
      </w:r>
      <w:r>
        <w:t>adminis</w:t>
      </w:r>
      <w:r>
        <w:t xml:space="preserve">trative, physical, and technical safeguards: access controls (OAuth2/OIDC, RBAC), encryption in transit and at rest, the append-only audit log, an annual Security Risk Analysis (SRA), and a sanction policy. The SRA is mandatory, not optional, and auditors </w:t>
      </w:r>
      <w:r>
        <w:t>ask for it first.</w:t>
      </w:r>
    </w:p>
    <w:p w:rsidR="00B31ADF" w:rsidRDefault="00DB0409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Breach Notification Rule — </w:t>
      </w:r>
      <w:r>
        <w:t>a documented incident-response and breach-assessment process; notify the covered entity 'without unreasonable delay' and no later than 60 days; the clinic notifies HHS/individuals. Residual PHI leaking to an LLM</w:t>
      </w:r>
      <w:r>
        <w:t xml:space="preserve"> with no BAA would presumptively be a reportable breach.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1AD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7E4E4"/>
              <w:left w:val="single" w:sz="24" w:space="0" w:color="A32D2D"/>
              <w:bottom w:val="single" w:sz="1" w:space="0" w:color="F7E4E4"/>
              <w:right w:val="single" w:sz="1" w:space="0" w:color="F7E4E4"/>
            </w:tcBorders>
            <w:shd w:val="clear" w:color="auto" w:fill="F7E4E4"/>
            <w:tcMar>
              <w:top w:w="110" w:type="dxa"/>
              <w:left w:w="160" w:type="dxa"/>
              <w:bottom w:w="110" w:type="dxa"/>
              <w:right w:w="140" w:type="dxa"/>
            </w:tcMar>
          </w:tcPr>
          <w:p w:rsidR="00B31ADF" w:rsidRDefault="00DB0409">
            <w:pPr>
              <w:spacing w:after="40"/>
            </w:pPr>
            <w:r>
              <w:rPr>
                <w:b/>
                <w:bCs/>
                <w:color w:val="A32D2D"/>
                <w:sz w:val="19"/>
                <w:szCs w:val="19"/>
              </w:rPr>
              <w:t>DE-IDENTIFICATION ≠ ANONYMIZATION</w:t>
            </w:r>
          </w:p>
          <w:p w:rsidR="00B31ADF" w:rsidRDefault="00DB0409">
            <w:pPr>
              <w:spacing w:line="264" w:lineRule="auto"/>
            </w:pPr>
            <w:r>
              <w:t xml:space="preserve">Presidio token-masking is </w:t>
            </w:r>
            <w:r>
              <w:rPr>
                <w:b/>
                <w:bCs/>
              </w:rPr>
              <w:t>pseudonymization</w:t>
            </w:r>
            <w:r>
              <w:t xml:space="preserve">, not HIPAA Safe-Harbor or Expert-Determination de-identification — Synapta re-tokenizes identifiers back into the output, </w:t>
            </w:r>
            <w:r>
              <w:t>so the data remains PHI end-to-end. Do not represent the LLM calls as 'de-identified and therefore out of HIPAA scope.' They are in scope, and the BAA + audit-of-every-de-id-event controls are what make them defensible.</w:t>
            </w:r>
          </w:p>
        </w:tc>
      </w:tr>
    </w:tbl>
    <w:p w:rsidR="00B31ADF" w:rsidRDefault="00DB0409">
      <w:pPr>
        <w:pStyle w:val="Heading2"/>
      </w:pPr>
      <w:r>
        <w:t>1.3 FDA — keeping CDS in the non-device safe harbor</w:t>
      </w:r>
    </w:p>
    <w:p w:rsidR="00B31ADF" w:rsidRDefault="00DB0409">
      <w:pPr>
        <w:spacing w:after="120" w:line="276" w:lineRule="auto"/>
      </w:pPr>
      <w:r>
        <w:t xml:space="preserve">Under the 21st Century Cures Act and FDA's Clinical Decision Support guidance, software is </w:t>
      </w:r>
      <w:r>
        <w:rPr>
          <w:b/>
          <w:bCs/>
        </w:rPr>
        <w:t>non-device CDS</w:t>
      </w:r>
      <w:r>
        <w:t xml:space="preserve"> (not FDA-regulated) only when it meets all four criteria, the key one being that the clinician can</w:t>
      </w:r>
      <w:r>
        <w:t xml:space="preserve"> </w:t>
      </w:r>
      <w:r>
        <w:rPr>
          <w:b/>
          <w:bCs/>
        </w:rPr>
        <w:t>independently review the basis</w:t>
      </w:r>
      <w:r>
        <w:t xml:space="preserve"> of the recommendation and is not relying primarily on the software. Synapta's existing design choices support this posture and should be preserved as compliance requirements, not just UX preferences:</w:t>
      </w:r>
    </w:p>
    <w:p w:rsidR="00B31ADF" w:rsidRDefault="00DB0409">
      <w:pPr>
        <w:pStyle w:val="ListParagraph"/>
        <w:numPr>
          <w:ilvl w:val="0"/>
          <w:numId w:val="2"/>
        </w:numPr>
        <w:spacing w:after="60" w:line="264" w:lineRule="auto"/>
      </w:pPr>
      <w:r>
        <w:t>Frame diagnostic/clinica</w:t>
      </w:r>
      <w:r>
        <w:t xml:space="preserve">l suggestions as </w:t>
      </w:r>
      <w:r>
        <w:rPr>
          <w:b/>
          <w:bCs/>
        </w:rPr>
        <w:t>“Consider also…”</w:t>
      </w:r>
      <w:r>
        <w:t xml:space="preserve"> with cited evidence — never as a definitive diagnosis or directive.</w:t>
      </w:r>
    </w:p>
    <w:p w:rsidR="00B31ADF" w:rsidRDefault="00DB0409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Display </w:t>
      </w:r>
      <w:r>
        <w:rPr>
          <w:b/>
          <w:bCs/>
        </w:rPr>
        <w:t>provenance</w:t>
      </w:r>
      <w:r>
        <w:t>: source data (FHIR resource IDs), the guideline/database used (e.g., First Databank, USPSTF), confidence, and model version, so the cli</w:t>
      </w:r>
      <w:r>
        <w:t>nician can independently verify.</w:t>
      </w:r>
    </w:p>
    <w:p w:rsidR="00B31ADF" w:rsidRDefault="00DB0409">
      <w:pPr>
        <w:pStyle w:val="ListParagraph"/>
        <w:numPr>
          <w:ilvl w:val="0"/>
          <w:numId w:val="2"/>
        </w:numPr>
        <w:spacing w:after="60" w:line="264" w:lineRule="auto"/>
      </w:pPr>
      <w:r>
        <w:t>Keep deterministic clinical rules (drug-drug, drug-allergy) sourced from an FDA-recognized database; the AI layer adds plain-language context only.</w:t>
      </w:r>
    </w:p>
    <w:p w:rsidR="00B31ADF" w:rsidRDefault="00DB0409">
      <w:pPr>
        <w:pStyle w:val="ListParagraph"/>
        <w:numPr>
          <w:ilvl w:val="0"/>
          <w:numId w:val="2"/>
        </w:numPr>
        <w:spacing w:after="60" w:line="264" w:lineRule="auto"/>
      </w:pPr>
      <w:r>
        <w:t>Triage outputs (Critical/Urgent/Routine/Normal) inform routing and prioriti</w:t>
      </w:r>
      <w:r>
        <w:t>zation, with mandatory clinician review — they must not auto-act on a patient.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1AD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EEDFE"/>
              <w:left w:val="single" w:sz="24" w:space="0" w:color="3C3489"/>
              <w:bottom w:val="single" w:sz="1" w:space="0" w:color="EEEDFE"/>
              <w:right w:val="single" w:sz="1" w:space="0" w:color="EEEDFE"/>
            </w:tcBorders>
            <w:shd w:val="clear" w:color="auto" w:fill="EEEDFE"/>
            <w:tcMar>
              <w:top w:w="110" w:type="dxa"/>
              <w:left w:w="160" w:type="dxa"/>
              <w:bottom w:w="110" w:type="dxa"/>
              <w:right w:w="140" w:type="dxa"/>
            </w:tcMar>
          </w:tcPr>
          <w:p w:rsidR="00B31ADF" w:rsidRDefault="00DB0409">
            <w:pPr>
              <w:spacing w:after="40"/>
            </w:pPr>
            <w:r>
              <w:rPr>
                <w:b/>
                <w:bCs/>
                <w:color w:val="3C3489"/>
                <w:sz w:val="19"/>
                <w:szCs w:val="19"/>
              </w:rPr>
              <w:t>ACTION</w:t>
            </w:r>
          </w:p>
          <w:p w:rsidR="00B31ADF" w:rsidRDefault="00DB0409">
            <w:pPr>
              <w:spacing w:line="264" w:lineRule="auto"/>
            </w:pPr>
            <w:r>
              <w:t xml:space="preserve">Obtain a written </w:t>
            </w:r>
            <w:r>
              <w:rPr>
                <w:b/>
                <w:bCs/>
              </w:rPr>
              <w:t>FDA CDS determination memo from regulatory counsel</w:t>
            </w:r>
            <w:r>
              <w:t xml:space="preserve"> for each of the four MVP features before launch, and re-run it whenever a feature changes its framing or autonomy. Time-critical triage (e.g., a 'Critical' lab auto-escalation) is the feature most likely to be pulled toward Device CDS — design the human c</w:t>
            </w:r>
            <w:r>
              <w:t>heckpoint carefully.</w:t>
            </w:r>
          </w:p>
        </w:tc>
      </w:tr>
    </w:tbl>
    <w:p w:rsidR="00B31ADF" w:rsidRDefault="00DB0409">
      <w:pPr>
        <w:pStyle w:val="Heading2"/>
      </w:pPr>
      <w:r>
        <w:t>1.4 State AI-in-healthcare laws</w:t>
      </w:r>
    </w:p>
    <w:p w:rsidR="00B31ADF" w:rsidRDefault="00DB0409">
      <w:pPr>
        <w:spacing w:after="120" w:line="276" w:lineRule="auto"/>
      </w:pPr>
      <w:r>
        <w:t>A growing set of state laws governs generative AI in clinical settings. The two patterns most relevant to the MVP:</w:t>
      </w:r>
    </w:p>
    <w:p w:rsidR="00B31ADF" w:rsidRDefault="00DB0409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lastRenderedPageBreak/>
        <w:t xml:space="preserve">Patient-communication disclosure (e.g., California AB 3030). </w:t>
      </w:r>
      <w:r>
        <w:t>When AI generates clinical information sent to a patient, the communication must carry a disclaimer that it was AI-generated and explain how to reach a human clinician. This hits the AI results inbox 'draft patient message' feature directly — add the discl</w:t>
      </w:r>
      <w:r>
        <w:t>aimer to the template and require clinician send-review.</w:t>
      </w:r>
    </w:p>
    <w:p w:rsidR="00B31ADF" w:rsidRDefault="00DB0409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Human oversight of medical-necessity / coverage decisions (e.g., California SB 1120). </w:t>
      </w:r>
      <w:r>
        <w:t>AI may not be the sole basis for denying or limiting care. Relevant if/when billing-AI medical-necessity pre-chec</w:t>
      </w:r>
      <w:r>
        <w:t>ks influence care decisions (Phase 2), but design the MVP audit trail now so the human-decision record exists.</w:t>
      </w:r>
    </w:p>
    <w:p w:rsidR="00B31ADF" w:rsidRDefault="00DB0409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Colorado AI Act and similar 'high-risk AI' regimes. </w:t>
      </w:r>
      <w:r>
        <w:t>Impose duties of care, impact assessments, and consumer notice for consequential decisions. C</w:t>
      </w:r>
      <w:r>
        <w:t>onfirm effective dates and applicability with counsel as pilot geographies are selected.</w:t>
      </w:r>
    </w:p>
    <w:p w:rsidR="00B31ADF" w:rsidRDefault="00DB0409">
      <w:pPr>
        <w:pStyle w:val="Heading2"/>
      </w:pPr>
      <w:r>
        <w:t>1.5 CCPA/CPRA, CMIA, and the GDPR question</w:t>
      </w:r>
    </w:p>
    <w:p w:rsidR="00B31ADF" w:rsidRDefault="00DB0409">
      <w:pPr>
        <w:spacing w:after="120" w:line="276" w:lineRule="auto"/>
      </w:pPr>
      <w:r>
        <w:rPr>
          <w:b/>
          <w:bCs/>
        </w:rPr>
        <w:t xml:space="preserve">CCPA/CPRA. </w:t>
      </w:r>
      <w:r>
        <w:t xml:space="preserve">Medical information governed by HIPAA/CMIA is </w:t>
      </w:r>
      <w:r>
        <w:rPr>
          <w:b/>
          <w:bCs/>
        </w:rPr>
        <w:t>exempt</w:t>
      </w:r>
      <w:r>
        <w:t xml:space="preserve"> from CCPA, so patient PHI inside the EMR is generally out of</w:t>
      </w:r>
      <w:r>
        <w:t xml:space="preserve"> CCPA scope. However, the </w:t>
      </w:r>
      <w:r>
        <w:rPr>
          <w:b/>
          <w:bCs/>
        </w:rPr>
        <w:t>marketing website, prospect/lead data, and employee data are in scope</w:t>
      </w:r>
      <w:r>
        <w:t xml:space="preserve"> — these need a privacy notice, opt-out of sale/share, and honoring of consumer rights. The marketing site's Google Analytics integration is the concrete trigger</w:t>
      </w:r>
      <w:r>
        <w:t>.</w:t>
      </w:r>
    </w:p>
    <w:p w:rsidR="00B31ADF" w:rsidRDefault="00DB0409">
      <w:pPr>
        <w:spacing w:after="120" w:line="276" w:lineRule="auto"/>
      </w:pPr>
      <w:r>
        <w:rPr>
          <w:b/>
          <w:bCs/>
        </w:rPr>
        <w:t xml:space="preserve">CMIA. </w:t>
      </w:r>
      <w:r>
        <w:t>For California pilot clinics, the Confidentiality of Medical Information Act applies in parallel with HIPAA and carries a private right of action and statutory damages. Treat CMIA's consent and disclosure rules as the higher bar where they exceed H</w:t>
      </w:r>
      <w:r>
        <w:t>IPAA.</w:t>
      </w:r>
    </w:p>
    <w:p w:rsidR="00B31ADF" w:rsidRDefault="00DB0409">
      <w:pPr>
        <w:spacing w:after="120" w:line="276" w:lineRule="auto"/>
      </w:pPr>
      <w:r>
        <w:rPr>
          <w:b/>
          <w:bCs/>
        </w:rPr>
        <w:t xml:space="preserve">GDPR. </w:t>
      </w:r>
      <w:r>
        <w:t xml:space="preserve">With no EU establishment and no intended EU patients, GDPR is </w:t>
      </w:r>
      <w:r>
        <w:rPr>
          <w:b/>
          <w:bCs/>
        </w:rPr>
        <w:t>not expected to apply to the clinical product in the MVP</w:t>
      </w:r>
      <w:r>
        <w:t xml:space="preserve">. The honest residual exposure is the public marketing site: an EU visitor's cookies/analytics could implicate GDPR/ePrivacy. </w:t>
      </w:r>
      <w:r>
        <w:t>Mitigate cheaply with a compliant cookie banner and analytics consent. Defer full GDPR programs (DPAs with EU-standard clauses, SCCs, EU representative) until an EU go-to-market is actually on the roadmap — but write the data architecture so that future sc</w:t>
      </w:r>
      <w:r>
        <w:t>oping is feasible.</w:t>
      </w:r>
    </w:p>
    <w:p w:rsidR="00B31ADF" w:rsidRDefault="00DB0409">
      <w:r>
        <w:br w:type="page"/>
      </w:r>
    </w:p>
    <w:p w:rsidR="00B31ADF" w:rsidRDefault="00DB0409">
      <w:pPr>
        <w:pStyle w:val="Heading1"/>
      </w:pPr>
      <w:r>
        <w:lastRenderedPageBreak/>
        <w:t>2. Risk analysis &amp; mitigation</w:t>
      </w:r>
    </w:p>
    <w:p w:rsidR="00B31ADF" w:rsidRDefault="00DB0409">
      <w:pPr>
        <w:spacing w:after="120" w:line="276" w:lineRule="auto"/>
      </w:pPr>
      <w:r>
        <w:t xml:space="preserve">Risks are split into </w:t>
      </w:r>
      <w:r>
        <w:rPr>
          <w:b/>
          <w:bCs/>
        </w:rPr>
        <w:t>compliance/legal risk</w:t>
      </w:r>
      <w:r>
        <w:t xml:space="preserve"> (regulatory exposure) and </w:t>
      </w:r>
      <w:r>
        <w:rPr>
          <w:b/>
          <w:bCs/>
        </w:rPr>
        <w:t>operational/clinical-safety risk</w:t>
      </w:r>
      <w:r>
        <w:t xml:space="preserve"> (harm to patients, clinicians, or the business). Severity reflects likelihood × impact for the MVP spec</w:t>
      </w:r>
      <w:r>
        <w:t>ifically. Each row ties to a control already present in, or to be added to, the AI Orchestration Layer.</w:t>
      </w:r>
    </w:p>
    <w:p w:rsidR="00B31ADF" w:rsidRDefault="00DB0409">
      <w:pPr>
        <w:pStyle w:val="Heading2"/>
      </w:pPr>
      <w:r>
        <w:t>2.1 Compliance &amp; legal risks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100"/>
        <w:gridCol w:w="5660"/>
      </w:tblGrid>
      <w:tr w:rsidR="00B31AD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Risk</w:t>
            </w:r>
          </w:p>
        </w:tc>
        <w:tc>
          <w:tcPr>
            <w:tcW w:w="11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Sev.</w:t>
            </w:r>
          </w:p>
        </w:tc>
        <w:tc>
          <w:tcPr>
            <w:tcW w:w="5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Mitigation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</w:rPr>
              <w:t>PHI reaching an LLM vendor with no BAA</w:t>
            </w:r>
          </w:p>
        </w:tc>
        <w:tc>
          <w:tcPr>
            <w:tcW w:w="11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  <w:color w:val="A32D2D"/>
                <w:sz w:val="19"/>
                <w:szCs w:val="19"/>
              </w:rPr>
              <w:t>Critical</w:t>
            </w:r>
          </w:p>
        </w:tc>
        <w:tc>
          <w:tcPr>
            <w:tcW w:w="5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Hard gateway block on real PHI until all BAAs signed; automated check that disables external model routing in any environment lacking a recorded BAA; log every de-identification + re-tokenization event.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</w:rPr>
              <w:t>Residual PHI leaks past de-identification</w:t>
            </w:r>
          </w:p>
        </w:tc>
        <w:tc>
          <w:tcPr>
            <w:tcW w:w="11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  <w:color w:val="A32D2D"/>
                <w:sz w:val="19"/>
                <w:szCs w:val="19"/>
              </w:rPr>
              <w:t>Critical</w:t>
            </w:r>
          </w:p>
        </w:tc>
        <w:tc>
          <w:tcPr>
            <w:tcW w:w="5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Measure Presidio recall on representative notes; secondary regex/NER pass; allow-list output validation; manual review sample; treat free-text as highest-risk surface and tune for recall over precision.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</w:rPr>
              <w:t>No / weak BAA with clinic customers</w:t>
            </w:r>
          </w:p>
        </w:tc>
        <w:tc>
          <w:tcPr>
            <w:tcW w:w="11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  <w:color w:val="B8860B"/>
                <w:sz w:val="19"/>
                <w:szCs w:val="19"/>
              </w:rPr>
              <w:t>High</w:t>
            </w:r>
          </w:p>
        </w:tc>
        <w:tc>
          <w:tcPr>
            <w:tcW w:w="5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BAA is a contract-execution gate in onboarding; no tenant is provisioned for production PHI until countersigned.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</w:rPr>
              <w:t>Feature drifts into FDA Device CDS</w:t>
            </w:r>
          </w:p>
        </w:tc>
        <w:tc>
          <w:tcPr>
            <w:tcW w:w="11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  <w:color w:val="B8860B"/>
                <w:sz w:val="19"/>
                <w:szCs w:val="19"/>
              </w:rPr>
              <w:t>High</w:t>
            </w:r>
          </w:p>
        </w:tc>
        <w:tc>
          <w:tcPr>
            <w:tcW w:w="5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Counsel determination memo per feature; preserve 'Consider also'</w:t>
            </w:r>
            <w:r>
              <w:rPr>
                <w:sz w:val="19"/>
                <w:szCs w:val="19"/>
              </w:rPr>
              <w:t xml:space="preserve"> framing + provenance; change-control review re-triggers the FDA analysis on any autonomy change.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</w:rPr>
              <w:t>Missing Security Risk Analysis (SRA)</w:t>
            </w:r>
          </w:p>
        </w:tc>
        <w:tc>
          <w:tcPr>
            <w:tcW w:w="11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  <w:color w:val="B8860B"/>
                <w:sz w:val="19"/>
                <w:szCs w:val="19"/>
              </w:rPr>
              <w:t>High</w:t>
            </w:r>
          </w:p>
        </w:tc>
        <w:tc>
          <w:tcPr>
            <w:tcW w:w="5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Complete an NIST 800-66-aligned SRA before launch; remediation tracker; annual refresh — auditors request this first.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</w:rPr>
              <w:t>AI patient message lacks required disclosure</w:t>
            </w:r>
          </w:p>
        </w:tc>
        <w:tc>
          <w:tcPr>
            <w:tcW w:w="11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  <w:color w:val="1D9E75"/>
                <w:sz w:val="19"/>
                <w:szCs w:val="19"/>
              </w:rPr>
              <w:t>Medium</w:t>
            </w:r>
          </w:p>
        </w:tc>
        <w:tc>
          <w:tcPr>
            <w:tcW w:w="5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Disclaimer baked into the message template; clinician send-review mandatory; per-state disclosure matrix maintained by Compliance.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</w:rPr>
              <w:t>Secondary use of PHI for model tuning</w:t>
            </w:r>
          </w:p>
        </w:tc>
        <w:tc>
          <w:tcPr>
            <w:tcW w:w="11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  <w:color w:val="1D9E75"/>
                <w:sz w:val="19"/>
                <w:szCs w:val="19"/>
              </w:rPr>
              <w:t>Medium</w:t>
            </w:r>
          </w:p>
        </w:tc>
        <w:tc>
          <w:tcPr>
            <w:tcW w:w="5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Policy prohibition on training external models with identifiable PHI; any improvement loop uses de-identified or aggregated signals with documented basis.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</w:rPr>
              <w:t>Website/marketing data privacy gaps (CCPA)</w:t>
            </w:r>
          </w:p>
        </w:tc>
        <w:tc>
          <w:tcPr>
            <w:tcW w:w="11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  <w:color w:val="1D9E75"/>
                <w:sz w:val="19"/>
                <w:szCs w:val="19"/>
              </w:rPr>
              <w:t>Medium</w:t>
            </w:r>
          </w:p>
        </w:tc>
        <w:tc>
          <w:tcPr>
            <w:tcW w:w="5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Privacy notice, cookie consent, opt-out mechanism, analytics consent; keep marketing data logically separate from PHI stores.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</w:rPr>
              <w:t>Sub-processor change without notice/BAA</w:t>
            </w:r>
          </w:p>
        </w:tc>
        <w:tc>
          <w:tcPr>
            <w:tcW w:w="11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  <w:color w:val="1D9E75"/>
                <w:sz w:val="19"/>
                <w:szCs w:val="19"/>
              </w:rPr>
              <w:t>Medium</w:t>
            </w:r>
          </w:p>
        </w:tc>
        <w:tc>
          <w:tcPr>
            <w:tcW w:w="5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Maintain a sub-processor register; contractual notice to clinics; new sub-processor cannot be enabled in code until BAA + register update complete.</w:t>
            </w:r>
          </w:p>
        </w:tc>
      </w:tr>
    </w:tbl>
    <w:p w:rsidR="00B31ADF" w:rsidRDefault="00B31ADF">
      <w:pPr>
        <w:spacing w:after="160"/>
      </w:pPr>
    </w:p>
    <w:p w:rsidR="00B31ADF" w:rsidRDefault="00DB0409">
      <w:pPr>
        <w:pStyle w:val="Heading2"/>
      </w:pPr>
      <w:r>
        <w:t>2.2 Operational &amp; clinical-safety risks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100"/>
        <w:gridCol w:w="5660"/>
      </w:tblGrid>
      <w:tr w:rsidR="00B31AD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Risk</w:t>
            </w:r>
          </w:p>
        </w:tc>
        <w:tc>
          <w:tcPr>
            <w:tcW w:w="11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Sev.</w:t>
            </w:r>
          </w:p>
        </w:tc>
        <w:tc>
          <w:tcPr>
            <w:tcW w:w="5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Mitigation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</w:rPr>
              <w:t>AI hallucination in a clinical note or message</w:t>
            </w:r>
          </w:p>
        </w:tc>
        <w:tc>
          <w:tcPr>
            <w:tcW w:w="11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  <w:color w:val="A32D2D"/>
                <w:sz w:val="19"/>
                <w:szCs w:val="19"/>
              </w:rPr>
              <w:t>Critical</w:t>
            </w:r>
          </w:p>
        </w:tc>
        <w:tc>
          <w:tcPr>
            <w:tcW w:w="5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Hallucination detection: any cited clinical value (lab number, dose, date) is verified against the patient's FHIR chart before display; mismatches suppressed. RAG grounding with FHIR provenance. Manda</w:t>
            </w:r>
            <w:r>
              <w:rPr>
                <w:sz w:val="19"/>
                <w:szCs w:val="19"/>
              </w:rPr>
              <w:t>tory clinician verification.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</w:rPr>
              <w:t>Missed/under-triaged critical lab result</w:t>
            </w:r>
          </w:p>
        </w:tc>
        <w:tc>
          <w:tcPr>
            <w:tcW w:w="11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  <w:color w:val="A32D2D"/>
                <w:sz w:val="19"/>
                <w:szCs w:val="19"/>
              </w:rPr>
              <w:t>Critical</w:t>
            </w:r>
          </w:p>
        </w:tc>
        <w:tc>
          <w:tcPr>
            <w:tcW w:w="5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 xml:space="preserve">Deterministic rules for clearly-critical values; AI only for borderline; fail-safe defaults to higher acuity; aging/escalation </w:t>
            </w:r>
            <w:r>
              <w:rPr>
                <w:sz w:val="19"/>
                <w:szCs w:val="19"/>
              </w:rPr>
              <w:lastRenderedPageBreak/>
              <w:t>report for unreviewed results; never auto-close a result without clinician action.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</w:rPr>
              <w:lastRenderedPageBreak/>
              <w:t>Over-reliance / automation bias by clinicians</w:t>
            </w:r>
          </w:p>
        </w:tc>
        <w:tc>
          <w:tcPr>
            <w:tcW w:w="11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  <w:color w:val="B8860B"/>
                <w:sz w:val="19"/>
                <w:szCs w:val="19"/>
              </w:rPr>
              <w:t>High</w:t>
            </w:r>
          </w:p>
        </w:tc>
        <w:tc>
          <w:tcPr>
            <w:tcW w:w="5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Provenance + confidence on every output; accept/modify/reject UI; track acceptance vs. edit-distance to detect rubber-stamping; change-management training that frames AI as a draft, not an authority.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</w:rPr>
              <w:t>Alert fatigue degrades safety</w:t>
            </w:r>
          </w:p>
        </w:tc>
        <w:tc>
          <w:tcPr>
            <w:tcW w:w="11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  <w:color w:val="B8860B"/>
                <w:sz w:val="19"/>
                <w:szCs w:val="19"/>
              </w:rPr>
              <w:t>High</w:t>
            </w:r>
          </w:p>
        </w:tc>
        <w:tc>
          <w:tcPr>
            <w:tcW w:w="5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AI relevance scoring suppresses low-value alerts; override-reason capture; monitor override rate (&lt;30% target) as a safety signal.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</w:rPr>
              <w:t>Model/API outage mid-encounter</w:t>
            </w:r>
          </w:p>
        </w:tc>
        <w:tc>
          <w:tcPr>
            <w:tcW w:w="11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  <w:color w:val="1D9E75"/>
                <w:sz w:val="19"/>
                <w:szCs w:val="19"/>
              </w:rPr>
              <w:t>Medium</w:t>
            </w:r>
          </w:p>
        </w:tc>
        <w:tc>
          <w:tcPr>
            <w:tcW w:w="5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Model Router auto-failover; on-prem Whisper.cpp fallback; graceful degradation to manual workflow; no data loss (chunked capture).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</w:rPr>
              <w:t>Confidence thresholds mis-set</w:t>
            </w:r>
          </w:p>
        </w:tc>
        <w:tc>
          <w:tcPr>
            <w:tcW w:w="11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  <w:color w:val="1D9E75"/>
                <w:sz w:val="19"/>
                <w:szCs w:val="19"/>
              </w:rPr>
              <w:t>Medium</w:t>
            </w:r>
          </w:p>
        </w:tc>
        <w:tc>
          <w:tcPr>
            <w:tcW w:w="5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Feature-specific thresholds (higher for clinical, lower for scheduling); thresholds version-controlled and change-reviewed; low-confidence output flagged 'uncertain' or suppressed.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</w:rPr>
              <w:t>Audit log gaps undermine investigations</w:t>
            </w:r>
          </w:p>
        </w:tc>
        <w:tc>
          <w:tcPr>
            <w:tcW w:w="11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  <w:color w:val="1D9E75"/>
                <w:sz w:val="19"/>
                <w:szCs w:val="19"/>
              </w:rPr>
              <w:t>Medium</w:t>
            </w:r>
          </w:p>
        </w:tc>
        <w:tc>
          <w:tcPr>
            <w:tcW w:w="5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Append-only log of every inference (model version, prompt hash, sanitized I/O, clinician action, timestamp); integrity monitoring; retention aligned to HIPAA (6 years).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</w:rPr>
              <w:t>Prompt injection via patient-supplied text</w:t>
            </w:r>
          </w:p>
        </w:tc>
        <w:tc>
          <w:tcPr>
            <w:tcW w:w="11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  <w:color w:val="1D9E75"/>
                <w:sz w:val="19"/>
                <w:szCs w:val="19"/>
              </w:rPr>
              <w:t>Medium</w:t>
            </w:r>
          </w:p>
        </w:tc>
        <w:tc>
          <w:tcPr>
            <w:tcW w:w="5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Treat transcript/intake text as untrusted; input sanitization; system-prompt isolation; output validation against the FHIR chart before any action.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</w:rPr>
              <w:t>Bias / inequitable performance across groups</w:t>
            </w:r>
          </w:p>
        </w:tc>
        <w:tc>
          <w:tcPr>
            <w:tcW w:w="11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  <w:color w:val="1D9E75"/>
                <w:sz w:val="19"/>
                <w:szCs w:val="19"/>
              </w:rPr>
              <w:t>Medium</w:t>
            </w:r>
          </w:p>
        </w:tc>
        <w:tc>
          <w:tcPr>
            <w:tcW w:w="5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Evaluate transcription and triage performance across accents/demographics where data allows; document known limitations; route low-confidence cases to humans.</w:t>
            </w:r>
          </w:p>
        </w:tc>
      </w:tr>
    </w:tbl>
    <w:p w:rsidR="00B31ADF" w:rsidRDefault="00B31ADF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1AD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1F5EE"/>
              <w:left w:val="single" w:sz="24" w:space="0" w:color="0F6E56"/>
              <w:bottom w:val="single" w:sz="1" w:space="0" w:color="E1F5EE"/>
              <w:right w:val="single" w:sz="1" w:space="0" w:color="E1F5EE"/>
            </w:tcBorders>
            <w:shd w:val="clear" w:color="auto" w:fill="E1F5EE"/>
            <w:tcMar>
              <w:top w:w="110" w:type="dxa"/>
              <w:left w:w="160" w:type="dxa"/>
              <w:bottom w:w="110" w:type="dxa"/>
              <w:right w:w="140" w:type="dxa"/>
            </w:tcMar>
          </w:tcPr>
          <w:p w:rsidR="00B31ADF" w:rsidRDefault="00DB0409">
            <w:pPr>
              <w:spacing w:after="40"/>
            </w:pPr>
            <w:r>
              <w:rPr>
                <w:b/>
                <w:bCs/>
                <w:color w:val="0F6E56"/>
                <w:sz w:val="19"/>
                <w:szCs w:val="19"/>
              </w:rPr>
              <w:t>RISK GOVERNANCE</w:t>
            </w:r>
          </w:p>
          <w:p w:rsidR="00B31ADF" w:rsidRDefault="00DB0409">
            <w:pPr>
              <w:spacing w:line="264" w:lineRule="auto"/>
            </w:pPr>
            <w:r>
              <w:t xml:space="preserve">Maintain this as a living </w:t>
            </w:r>
            <w:r>
              <w:rPr>
                <w:b/>
                <w:bCs/>
              </w:rPr>
              <w:t>risk register</w:t>
            </w:r>
            <w:r>
              <w:t xml:space="preserve"> with a named owner, current status, and review date per row. Re-score at each governance review and whenever a feature, model, or sub-processor changes. Any 'Critical' that is not fully mitigated is a launch blocker.</w:t>
            </w:r>
          </w:p>
        </w:tc>
      </w:tr>
    </w:tbl>
    <w:p w:rsidR="00B31ADF" w:rsidRDefault="00DB0409">
      <w:r>
        <w:br w:type="page"/>
      </w:r>
    </w:p>
    <w:p w:rsidR="00B31ADF" w:rsidRDefault="00DB0409">
      <w:pPr>
        <w:pStyle w:val="Heading1"/>
      </w:pPr>
      <w:r>
        <w:lastRenderedPageBreak/>
        <w:t>3. Testing strategy</w:t>
      </w:r>
    </w:p>
    <w:p w:rsidR="00B31ADF" w:rsidRDefault="00DB0409">
      <w:pPr>
        <w:spacing w:after="120" w:line="276" w:lineRule="auto"/>
      </w:pPr>
      <w:r>
        <w:t xml:space="preserve">AI behavior in a clinical product cannot be validated by unit tests alone. The strategy combines a </w:t>
      </w:r>
      <w:r>
        <w:rPr>
          <w:b/>
          <w:bCs/>
        </w:rPr>
        <w:t>no-PHI sandbox</w:t>
      </w:r>
      <w:r>
        <w:t xml:space="preserve">, </w:t>
      </w:r>
      <w:r>
        <w:rPr>
          <w:b/>
          <w:bCs/>
        </w:rPr>
        <w:t>controlled A/B / shadow evaluation</w:t>
      </w:r>
      <w:r>
        <w:t xml:space="preserve">, and a battery of </w:t>
      </w:r>
      <w:r>
        <w:rPr>
          <w:b/>
          <w:bCs/>
        </w:rPr>
        <w:t>safety checks</w:t>
      </w:r>
      <w:r>
        <w:t xml:space="preserve"> — each mapped to a go/no-go gate. The principle running through all of it:</w:t>
      </w:r>
      <w:r>
        <w:t xml:space="preserve"> </w:t>
      </w:r>
      <w:r>
        <w:rPr>
          <w:b/>
          <w:bCs/>
        </w:rPr>
        <w:t>real patient data does not enter testing until the BAA, de-identification, and safety gates are green.</w:t>
      </w:r>
    </w:p>
    <w:p w:rsidR="00B31ADF" w:rsidRDefault="00DB0409">
      <w:pPr>
        <w:pStyle w:val="Heading2"/>
      </w:pPr>
      <w:r>
        <w:t>3.1 Sandboxing — isolated, synthetic-data environments</w:t>
      </w:r>
    </w:p>
    <w:p w:rsidR="00B31ADF" w:rsidRDefault="00DB0409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Strict environment separation. </w:t>
      </w:r>
      <w:r>
        <w:t>Dev / staging / production are fully isolated. Dev and staging use</w:t>
      </w:r>
      <w:r>
        <w:t xml:space="preserve"> </w:t>
      </w:r>
      <w:r>
        <w:rPr>
          <w:b/>
          <w:bCs/>
        </w:rPr>
        <w:t>synthetic or de-identified test data only</w:t>
      </w:r>
      <w:r>
        <w:t xml:space="preserve"> — never real PHI. The gateway enforces this technically, not by policy alone.</w:t>
      </w:r>
    </w:p>
    <w:p w:rsidR="00B31ADF" w:rsidRDefault="00DB0409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Synthetic clinical corpus. </w:t>
      </w:r>
      <w:r>
        <w:t>Build a representative test set: varied specialties, accents, note types, abnormal/critical lab patterns, an</w:t>
      </w:r>
      <w:r>
        <w:t>d adversarial cases (ambiguous values, prompt-injection strings, PHI hidden in unusual formats).</w:t>
      </w:r>
    </w:p>
    <w:p w:rsidR="00B31ADF" w:rsidRDefault="00DB0409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De-identification test harness. </w:t>
      </w:r>
      <w:r>
        <w:t xml:space="preserve">Run Presidio against labeled clinical text and measure </w:t>
      </w:r>
      <w:r>
        <w:rPr>
          <w:b/>
          <w:bCs/>
        </w:rPr>
        <w:t>recall (missed PHI)</w:t>
      </w:r>
      <w:r>
        <w:t xml:space="preserve"> and precision; recall is the safety-critical metric.</w:t>
      </w:r>
      <w:r>
        <w:t xml:space="preserve"> Set a launch threshold and a secondary validation pass for residual identifiers.</w:t>
      </w:r>
    </w:p>
    <w:p w:rsidR="00B31ADF" w:rsidRDefault="00DB0409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Sandboxed external calls. </w:t>
      </w:r>
      <w:r>
        <w:t>In non-production environments, route to vendor sandbox endpoints or mocked responses so no synthetic-but-sensitive content leaves the boundary unne</w:t>
      </w:r>
      <w:r>
        <w:t>cessarily.</w:t>
      </w:r>
    </w:p>
    <w:p w:rsidR="00B31ADF" w:rsidRDefault="00DB0409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LLM-API-in-artifact and integration sandboxes. </w:t>
      </w:r>
      <w:r>
        <w:t>Exercise the full pipeline (capture → STT → de-id → model → re-tokenize → FHIR write-back) end-to-end on synthetic encounters before any pilot.</w:t>
      </w:r>
    </w:p>
    <w:p w:rsidR="00B31ADF" w:rsidRDefault="00DB0409">
      <w:pPr>
        <w:pStyle w:val="Heading2"/>
      </w:pPr>
      <w:r>
        <w:t>3.2 A/B testing &amp; shadow evaluation</w:t>
      </w:r>
    </w:p>
    <w:p w:rsidR="00B31ADF" w:rsidRDefault="00DB0409">
      <w:pPr>
        <w:spacing w:after="120" w:line="276" w:lineRule="auto"/>
      </w:pPr>
      <w:r>
        <w:t>The Model Router a</w:t>
      </w:r>
      <w:r>
        <w:t xml:space="preserve">lready supports A/B routing (~10% of traffic). Use it as a </w:t>
      </w:r>
      <w:r>
        <w:rPr>
          <w:b/>
          <w:bCs/>
        </w:rPr>
        <w:t>controlled, safety-bounded</w:t>
      </w:r>
      <w:r>
        <w:t xml:space="preserve"> evaluation tool, not an uncontrolled experiment on patients:</w:t>
      </w:r>
    </w:p>
    <w:p w:rsidR="00B31ADF" w:rsidRDefault="00DB0409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Shadow mode first. </w:t>
      </w:r>
      <w:r>
        <w:t>New models/prompts run in shadow (output logged, not shown to clinicians) and are compared</w:t>
      </w:r>
      <w:r>
        <w:t xml:space="preserve"> against the incumbent on the synthetic corpus and then on a small live cohort, before they ever surface to a clinician.</w:t>
      </w:r>
    </w:p>
    <w:p w:rsidR="00B31ADF" w:rsidRDefault="00DB0409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A/B on non-safety-critical surfaces first. </w:t>
      </w:r>
      <w:r>
        <w:t xml:space="preserve">Begin experiments on lower-risk features (e.g., note phrasing, scheduling reminders) before </w:t>
      </w:r>
      <w:r>
        <w:t>higher-risk ones; never A/B a deterministic safety rule (critical-lab thresholds, drug-allergy triggers).</w:t>
      </w:r>
    </w:p>
    <w:p w:rsidR="00B31ADF" w:rsidRDefault="00DB0409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Pre-registered metrics. </w:t>
      </w:r>
      <w:r>
        <w:t>Define success metrics before the test: note acceptance rate, edit distance, triage accuracy vs. clinician ground truth, hallucination rate, latency, cost/encounter.</w:t>
      </w:r>
    </w:p>
    <w:p w:rsidR="00B31ADF" w:rsidRDefault="00DB0409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Guardrailed rollout. </w:t>
      </w:r>
      <w:r>
        <w:t>Automatic rollback if a safety metric (hallucination rate, mis-triage</w:t>
      </w:r>
      <w:r>
        <w:t xml:space="preserve"> rate, low-confidence rate) crosses a threshold. Human sign-off to graduate from shadow → A/B → default.</w:t>
      </w:r>
    </w:p>
    <w:p w:rsidR="00B31ADF" w:rsidRDefault="00DB0409">
      <w:pPr>
        <w:pStyle w:val="Heading2"/>
      </w:pPr>
      <w:r>
        <w:t>3.3 Safety checks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B31AD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Check</w:t>
            </w:r>
          </w:p>
        </w:tc>
        <w:tc>
          <w:tcPr>
            <w:tcW w:w="6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What it validates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</w:rPr>
              <w:t>Hallucination / grounding test</w:t>
            </w:r>
          </w:p>
        </w:tc>
        <w:tc>
          <w:tcPr>
            <w:tcW w:w="6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Every cited clinical value exists in the patient's FHIR chart; injected '</w:t>
            </w:r>
            <w:r>
              <w:rPr>
                <w:sz w:val="19"/>
                <w:szCs w:val="19"/>
              </w:rPr>
              <w:t>phantom value' test cases must be suppressed, not displayed.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</w:rPr>
              <w:t>PHI-leakage test</w:t>
            </w:r>
          </w:p>
        </w:tc>
        <w:tc>
          <w:tcPr>
            <w:tcW w:w="6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Adversarial notes with embedded identifiers confirm the de-identification boundary catches them before external calls; residual-PHI = fail.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</w:rPr>
              <w:lastRenderedPageBreak/>
              <w:t>Confidence-threshold test</w:t>
            </w:r>
          </w:p>
        </w:tc>
        <w:tc>
          <w:tcPr>
            <w:tcW w:w="6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Low-confidence outputs are flagged 'uncertain' or suppressed per feature-specific threshold; thresholds behave as configured.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</w:rPr>
              <w:t>Critical-result fail-safe test</w:t>
            </w:r>
          </w:p>
        </w:tc>
        <w:tc>
          <w:tcPr>
            <w:tcW w:w="6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Clearly-critical labs always escalate via deterministic rules even if the AI layer is unavailable or low-confidence; fail-open to higher acuity.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</w:rPr>
              <w:t>Prompt-injection / red-team test</w:t>
            </w:r>
          </w:p>
        </w:tc>
        <w:tc>
          <w:tcPr>
            <w:tcW w:w="6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Malicious instructions in transcript/intake text cannot alter system behavior or exfiltrate data; output validated against the chart before any action.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</w:rPr>
              <w:t>Provenance &amp; disclosure test</w:t>
            </w:r>
          </w:p>
        </w:tc>
        <w:tc>
          <w:tcPr>
            <w:tcW w:w="6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Every clinical output shows model, confidence, source FHIR IDs, timestamp; AI patient messages carry the required AI-generated disclaimer.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</w:rPr>
              <w:t>Bias / subgroup performance test</w:t>
            </w:r>
          </w:p>
        </w:tc>
        <w:tc>
          <w:tcPr>
            <w:tcW w:w="6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STT and triage performance evaluated across available demographic/accent slices; known limitations documented.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</w:rPr>
              <w:t>Human-in-the-loop test</w:t>
            </w:r>
          </w:p>
        </w:tc>
        <w:tc>
          <w:tcPr>
            <w:tcW w:w="6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Accept / modify / reject path works for every clinical output; nothing auto-commits to the patient record or to the patient without clinician action.</w:t>
            </w:r>
          </w:p>
        </w:tc>
      </w:tr>
    </w:tbl>
    <w:p w:rsidR="00B31ADF" w:rsidRDefault="00B31ADF">
      <w:pPr>
        <w:spacing w:after="140"/>
      </w:pPr>
    </w:p>
    <w:p w:rsidR="00B31ADF" w:rsidRDefault="00DB0409">
      <w:pPr>
        <w:pStyle w:val="Heading2"/>
      </w:pPr>
      <w:r>
        <w:t>3.4 Go / no-go launch gates</w:t>
      </w:r>
    </w:p>
    <w:p w:rsidR="00B31ADF" w:rsidRDefault="00DB0409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 xml:space="preserve">Gate A — Legal: </w:t>
      </w:r>
      <w:r>
        <w:t>all BAAs (clinics + sub-processors) executed; FDA non-device CDS memos in hand; privacy notices live.</w:t>
      </w:r>
    </w:p>
    <w:p w:rsidR="00B31ADF" w:rsidRDefault="00DB0409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 xml:space="preserve">Gate B — Privacy: </w:t>
      </w:r>
      <w:r>
        <w:t>de-identification recall meets threshold on the synthetic corpus; SRA completed with no open critical findings.</w:t>
      </w:r>
    </w:p>
    <w:p w:rsidR="00B31ADF" w:rsidRDefault="00DB0409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 xml:space="preserve">Gate C — Safety: </w:t>
      </w:r>
      <w:r>
        <w:t>halluci</w:t>
      </w:r>
      <w:r>
        <w:t>nation, critical-result fail-safe, prompt-injection, and human-in-the-loop tests all pass; thresholds set and version-controlled.</w:t>
      </w:r>
    </w:p>
    <w:p w:rsidR="00B31ADF" w:rsidRDefault="00DB0409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 xml:space="preserve">Gate D — Operational: </w:t>
      </w:r>
      <w:r>
        <w:t>audit logging verified end-to-end; rollback tested; incident-response runbook rehearsed.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1AD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7E4E4"/>
              <w:left w:val="single" w:sz="24" w:space="0" w:color="A32D2D"/>
              <w:bottom w:val="single" w:sz="1" w:space="0" w:color="F7E4E4"/>
              <w:right w:val="single" w:sz="1" w:space="0" w:color="F7E4E4"/>
            </w:tcBorders>
            <w:shd w:val="clear" w:color="auto" w:fill="F7E4E4"/>
            <w:tcMar>
              <w:top w:w="110" w:type="dxa"/>
              <w:left w:w="160" w:type="dxa"/>
              <w:bottom w:w="110" w:type="dxa"/>
              <w:right w:w="140" w:type="dxa"/>
            </w:tcMar>
          </w:tcPr>
          <w:p w:rsidR="00B31ADF" w:rsidRDefault="00DB0409">
            <w:pPr>
              <w:spacing w:after="40"/>
            </w:pPr>
            <w:r>
              <w:rPr>
                <w:b/>
                <w:bCs/>
                <w:color w:val="A32D2D"/>
                <w:sz w:val="19"/>
                <w:szCs w:val="19"/>
              </w:rPr>
              <w:t>RULE</w:t>
            </w:r>
          </w:p>
          <w:p w:rsidR="00B31ADF" w:rsidRDefault="00DB0409">
            <w:pPr>
              <w:spacing w:line="264" w:lineRule="auto"/>
            </w:pPr>
            <w:r>
              <w:t>A 'Critica</w:t>
            </w:r>
            <w:r>
              <w:t>l' open item on any gate is an absolute launch blocker. Gates are re-evaluated for every new feature, model, prompt, or sub-processor.</w:t>
            </w:r>
          </w:p>
        </w:tc>
      </w:tr>
    </w:tbl>
    <w:p w:rsidR="00B31ADF" w:rsidRDefault="00DB0409">
      <w:r>
        <w:br w:type="page"/>
      </w:r>
    </w:p>
    <w:p w:rsidR="00B31ADF" w:rsidRDefault="00DB0409">
      <w:pPr>
        <w:pStyle w:val="Heading1"/>
      </w:pPr>
      <w:r>
        <w:lastRenderedPageBreak/>
        <w:t>4. Guardrails &amp; oversight</w:t>
      </w:r>
    </w:p>
    <w:p w:rsidR="00B31ADF" w:rsidRDefault="00DB0409">
      <w:pPr>
        <w:spacing w:after="120" w:line="276" w:lineRule="auto"/>
      </w:pPr>
      <w:r>
        <w:t>Guardrails are the always-on technical controls that constrain AI behavior at runtime; oversight is the human and organizational structure that owns, monitors, and intervenes. Synapta already has most of the technical guardrails designed — this section for</w:t>
      </w:r>
      <w:r>
        <w:t>malizes them and adds the human layer.</w:t>
      </w:r>
    </w:p>
    <w:p w:rsidR="00B31ADF" w:rsidRDefault="00DB0409">
      <w:pPr>
        <w:pStyle w:val="Heading2"/>
      </w:pPr>
      <w:r>
        <w:t>4.1 Technical guardrails (runtime)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B31AD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Guardrail</w:t>
            </w:r>
          </w:p>
        </w:tc>
        <w:tc>
          <w:tcPr>
            <w:tcW w:w="6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Function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</w:rPr>
              <w:t>PHI boundary enforcement</w:t>
            </w:r>
          </w:p>
        </w:tc>
        <w:tc>
          <w:tcPr>
            <w:tcW w:w="6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Presidio de-identification before every external model call; re-tokenization on return; no external routing without a recorded BAA; every de-id event logged.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</w:rPr>
              <w:t>Confidence thresholding</w:t>
            </w:r>
          </w:p>
        </w:tc>
        <w:tc>
          <w:tcPr>
            <w:tcW w:w="6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 xml:space="preserve">Feature-specific thresholds; sub-threshold outputs suppressed or flagged </w:t>
            </w:r>
            <w:r>
              <w:rPr>
                <w:sz w:val="19"/>
                <w:szCs w:val="19"/>
              </w:rPr>
              <w:t>'uncertain' — higher bar for clinical content than for scheduling.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</w:rPr>
              <w:t>Hallucination detection</w:t>
            </w:r>
          </w:p>
        </w:tc>
        <w:tc>
          <w:tcPr>
            <w:tcW w:w="6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Clinical values verified against the FHIR chart; mismatches suppressed; RAG grounded in cited FHIR provenance.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</w:rPr>
              <w:t>Human-in-the-loop</w:t>
            </w:r>
          </w:p>
        </w:tc>
        <w:tc>
          <w:tcPr>
            <w:tcW w:w="6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Mandatory clinician accept / modify / reject for every clinical output; nothing reaches the chart or the patient autonomously.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</w:rPr>
              <w:t>Provenance display</w:t>
            </w:r>
          </w:p>
        </w:tc>
        <w:tc>
          <w:tcPr>
            <w:tcW w:w="6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Model used, confidence, source FHIR resource IDs, timestamp on every output; drill-down to the data that informed it.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</w:rPr>
              <w:t>Override capture</w:t>
            </w:r>
          </w:p>
        </w:tc>
        <w:tc>
          <w:tcPr>
            <w:tcW w:w="6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Structured reason (category + free text) when a clinician overrides AI; feeds quality, prompt improvement, and ONC HTI-1-style transparency.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</w:rPr>
              <w:t>Deterministic safety rules</w:t>
            </w:r>
          </w:p>
        </w:tc>
        <w:tc>
          <w:tcPr>
            <w:tcW w:w="6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Drug-drug, drug-allergy, and clearly-critical-lab logic run as deterministic rules from recognized databases — AI adds context only.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</w:rPr>
              <w:t>Input sanitization</w:t>
            </w:r>
          </w:p>
        </w:tc>
        <w:tc>
          <w:tcPr>
            <w:tcW w:w="6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Transcript/intake text treated as untrusted; prompt-injection defenses; system-prompt isolation.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</w:rPr>
              <w:t>Append-only audit logging</w:t>
            </w:r>
          </w:p>
        </w:tc>
        <w:tc>
          <w:tcPr>
            <w:tcW w:w="6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Every inference recorded immutably: model version, prompt hash, sanitized I/O, clinician action, timestamp.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</w:rPr>
              <w:t>Fail-safe degradation</w:t>
            </w:r>
          </w:p>
        </w:tc>
        <w:tc>
          <w:tcPr>
            <w:tcW w:w="6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Model-router failover + on-prem fallback; safe default to manual workflow; higher-acuity default on uncertainty.</w:t>
            </w:r>
          </w:p>
        </w:tc>
      </w:tr>
    </w:tbl>
    <w:p w:rsidR="00B31ADF" w:rsidRDefault="00B31ADF">
      <w:pPr>
        <w:spacing w:after="160"/>
      </w:pPr>
    </w:p>
    <w:p w:rsidR="00B31ADF" w:rsidRDefault="00DB0409">
      <w:pPr>
        <w:pStyle w:val="Heading2"/>
      </w:pPr>
      <w:r>
        <w:t>4.2 Human &amp; organizational oversight</w:t>
      </w:r>
    </w:p>
    <w:p w:rsidR="00B31ADF" w:rsidRDefault="00DB0409">
      <w:pPr>
        <w:spacing w:after="120" w:line="276" w:lineRule="auto"/>
      </w:pPr>
      <w:r>
        <w:t>At MVP scale these are roles, not headcount — one founder may wear several hats — but the accountabilities must be named and documented.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B31AD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6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Accountability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</w:rPr>
              <w:t>HIPAA Privacy Officer</w:t>
            </w:r>
          </w:p>
        </w:tc>
        <w:tc>
          <w:tcPr>
            <w:tcW w:w="6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Owns privacy policy, minimum-necessary, patient-rights handling, BAA register, breach assessment. (Required by HIPAA.)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</w:rPr>
              <w:t>HIPAA Security Officer</w:t>
            </w:r>
          </w:p>
        </w:tc>
        <w:tc>
          <w:tcPr>
            <w:tcW w:w="6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Owns the SRA, technical safeguards, access control, audit-log review, incident response. (Required by HIPAA.)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</w:rPr>
              <w:t>Clinical Safety Lead (physician)</w:t>
            </w:r>
          </w:p>
        </w:tc>
        <w:tc>
          <w:tcPr>
            <w:tcW w:w="6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Signs off on clinical AI features, triage rules, and CDS framing; reviews safety metrics and adverse events; the clinical voice on go/no-go.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</w:rPr>
              <w:t>AI Governance owner</w:t>
            </w:r>
          </w:p>
        </w:tc>
        <w:tc>
          <w:tcPr>
            <w:tcW w:w="6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Runs the governance review, maintains the risk register and model inventory, approves model/prompt changes through change control.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</w:rPr>
              <w:lastRenderedPageBreak/>
              <w:t>Engineering / DevSecOps</w:t>
            </w:r>
          </w:p>
        </w:tc>
        <w:tc>
          <w:tcPr>
            <w:tcW w:w="6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Implements guardrails, gateway enforcement, logging, rollback; runs the test gates.</w:t>
            </w:r>
          </w:p>
        </w:tc>
      </w:tr>
    </w:tbl>
    <w:p w:rsidR="00B31ADF" w:rsidRDefault="00B31ADF">
      <w:pPr>
        <w:spacing w:after="160"/>
      </w:pPr>
    </w:p>
    <w:p w:rsidR="00B31ADF" w:rsidRDefault="00DB0409">
      <w:pPr>
        <w:pStyle w:val="Heading2"/>
      </w:pPr>
      <w:r>
        <w:t>4.3 Monitoring &amp; incident response</w:t>
      </w:r>
    </w:p>
    <w:p w:rsidR="00B31ADF" w:rsidRDefault="00DB0409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Continuous monitoring. </w:t>
      </w:r>
      <w:r>
        <w:t>Extend the Prometheus/Grafana stack with AI-safety telemetry: hallucination rate, mis-triage rate, low-confidence rate, override rate, de-identification failures, latency, cost/encounter — per featu</w:t>
      </w:r>
      <w:r>
        <w:t>re and per tenant.</w:t>
      </w:r>
    </w:p>
    <w:p w:rsidR="00B31ADF" w:rsidRDefault="00DB0409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Thresholds &amp; alerts. </w:t>
      </w:r>
      <w:r>
        <w:t>Safety metrics have alert thresholds wired to on-call; a breach can trigger automatic rollback of a model/prompt change.</w:t>
      </w:r>
    </w:p>
    <w:p w:rsidR="00B31ADF" w:rsidRDefault="00DB0409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Incident response runbook. </w:t>
      </w:r>
      <w:r>
        <w:t xml:space="preserve">Defined severity levels, roles, and timelines; covers both security </w:t>
      </w:r>
      <w:r>
        <w:t>incidents (PHI exposure) and clinical-safety incidents (harmful AI output). Rehearse before launch.</w:t>
      </w:r>
    </w:p>
    <w:p w:rsidR="00B31ADF" w:rsidRDefault="00DB0409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Breach decision tree. </w:t>
      </w:r>
      <w:r>
        <w:t>A documented path from 'anomaly detected' to 'covered-entity notification' that satisfies the 60-day HIPAA clock; pre-drafted notifica</w:t>
      </w:r>
      <w:r>
        <w:t>tion templates.</w:t>
      </w:r>
    </w:p>
    <w:p w:rsidR="00B31ADF" w:rsidRDefault="00DB0409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Feedback-to-improvement loop. </w:t>
      </w:r>
      <w:r>
        <w:t>Override reasons and edit distances feed prompt improvement — labeled 'Prompt Improvement Feedback,' not 'model retraining' (the MVP uses hosted APIs and does not retrain).</w:t>
      </w:r>
    </w:p>
    <w:p w:rsidR="00B31ADF" w:rsidRDefault="00DB0409">
      <w:r>
        <w:br w:type="page"/>
      </w:r>
    </w:p>
    <w:p w:rsidR="00B31ADF" w:rsidRDefault="00DB0409">
      <w:pPr>
        <w:pStyle w:val="Heading1"/>
      </w:pPr>
      <w:r>
        <w:lastRenderedPageBreak/>
        <w:t>5. AI governance plan &amp; documentati</w:t>
      </w:r>
      <w:r>
        <w:t>on readiness</w:t>
      </w:r>
    </w:p>
    <w:p w:rsidR="00B31ADF" w:rsidRDefault="00DB0409">
      <w:pPr>
        <w:spacing w:after="120" w:line="276" w:lineRule="auto"/>
      </w:pPr>
      <w:r>
        <w:t>This section integrates the prior four into one operating program: how regulation, testing, risk mitigation, and documentation connect, who owns each, and what evidence makes Synapta audit-ready for a clinic's security review, a HIPAA audit, o</w:t>
      </w:r>
      <w:r>
        <w:t>r investor due diligence.</w:t>
      </w:r>
    </w:p>
    <w:p w:rsidR="00B31ADF" w:rsidRDefault="00DB0409">
      <w:pPr>
        <w:pStyle w:val="Heading2"/>
      </w:pPr>
      <w:r>
        <w:t>5.1 Governance operating model</w:t>
      </w:r>
    </w:p>
    <w:p w:rsidR="00B31ADF" w:rsidRDefault="00DB0409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AI Governance Review. </w:t>
      </w:r>
      <w:r>
        <w:t>A standing review (monthly at MVP, plus event-triggered) attended by the Privacy/Security Officers, Clinical Safety Lead, AI Governance owner, and Engineering. It approves new f</w:t>
      </w:r>
      <w:r>
        <w:t>eatures/models, reviews the risk register and safety metrics, and owns go/no-go.</w:t>
      </w:r>
    </w:p>
    <w:p w:rsidR="00B31ADF" w:rsidRDefault="00DB0409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Change control for AI. </w:t>
      </w:r>
      <w:r>
        <w:t>Any change to a model, prompt, threshold, or sub-processor goes through a documented change request: risk re-assessment, FDA/CDS re-check, test-gate re-</w:t>
      </w:r>
      <w:r>
        <w:t>run, and sign-off. No silent prompt edits in production.</w:t>
      </w:r>
    </w:p>
    <w:p w:rsidR="00B31ADF" w:rsidRDefault="00DB0409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Policy stack. </w:t>
      </w:r>
      <w:r>
        <w:t>A small but real set of policies: AI Acceptable Use &amp;</w:t>
      </w:r>
      <w:r>
        <w:t xml:space="preserve"> Clinical Safety, HIPAA Privacy, HIPAA Security, Data Retention, Incident Response, Vendor/Sub-processor Management, and Access Control.</w:t>
      </w:r>
    </w:p>
    <w:p w:rsidR="00B31ADF" w:rsidRDefault="00DB0409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Lifecycle gates. </w:t>
      </w:r>
      <w:r>
        <w:t>Every AI feature passes design → build → test-gate → governance approval → monitored release → periodi</w:t>
      </w:r>
      <w:r>
        <w:t>c review. Nothing skips the gate to hit a demo date.</w:t>
      </w:r>
    </w:p>
    <w:p w:rsidR="00B31ADF" w:rsidRDefault="00DB0409">
      <w:pPr>
        <w:pStyle w:val="Heading2"/>
      </w:pPr>
      <w:r>
        <w:t>5.2 Documentation set (the audit binder)</w:t>
      </w:r>
    </w:p>
    <w:p w:rsidR="00B31ADF" w:rsidRDefault="00DB0409">
      <w:pPr>
        <w:spacing w:after="120" w:line="276" w:lineRule="auto"/>
      </w:pPr>
      <w:r>
        <w:t>If it isn't documented, it didn't happen — to an auditor. Maintain these as living artifacts: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31AD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Artifact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Purpose / contents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</w:rPr>
              <w:t>Security Risk Analysis (SRA)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NIST 800-66-aligned assessment of PHI risks and safeguards; remediation tracker; annual refresh. The first thing an auditor asks for.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</w:rPr>
              <w:t>BAA register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Every clinic and sub-processor BAA, status, date, scope; the evidence that the PHI chain is covered end-to-end.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</w:rPr>
              <w:t>Sub-processor / data-flow inventory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Who touches PHI, where it flows, where it rests; data-flow diagrams for each AI feature (capture → de-id → model → write-back).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</w:rPr>
              <w:t>Model / system cards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Per AI feature: purpose, model + version, inputs/outputs, known limitations, thresholds, evaluation results, intended use and out-of-scope use.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</w:rPr>
              <w:t>Risk register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The Section 2 register, kept live with owners, status, and review dates.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</w:rPr>
              <w:t>Test &amp;</w:t>
            </w:r>
            <w:r>
              <w:rPr>
                <w:b/>
                <w:bCs/>
              </w:rPr>
              <w:t xml:space="preserve"> validation reports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Results of de-identification, hallucination, fail-safe, prompt-injection, bias, and human-in-the-loop tests, per release; the go/no-go gate record.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</w:rPr>
              <w:t>Privacy notices &amp; disclosures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Patient-facing AI disclosures (AB 3030-style), website privacy notice, cookie/analytics consent.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</w:rPr>
              <w:t>FDA CDS determination memos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Counsel's written non-device determination per feature, refreshed on material change.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</w:rPr>
              <w:t>Audit-log specification &amp; retention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What is logged, immutability controls, 6-year HIPAA-aligned retention, review cadence.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</w:rPr>
              <w:t>Incident-response &amp; breach records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Runbook, severity matrix, rehearsal records, and any incident/breach assessments.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</w:rPr>
              <w:lastRenderedPageBreak/>
              <w:t>Policies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The Section 5.1 policy stack, versioned and acknowledged by the team.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</w:rPr>
              <w:t>Training records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HIPAA + AI-safety training completion for everyone with PHI access.</w:t>
            </w:r>
          </w:p>
        </w:tc>
      </w:tr>
    </w:tbl>
    <w:p w:rsidR="00B31ADF" w:rsidRDefault="00B31ADF">
      <w:pPr>
        <w:spacing w:after="160"/>
      </w:pPr>
    </w:p>
    <w:p w:rsidR="00B31ADF" w:rsidRDefault="00DB0409">
      <w:pPr>
        <w:pStyle w:val="Heading2"/>
      </w:pPr>
      <w:r>
        <w:t>5.3 Compliance readiness — what 'audit-ready' looks like</w:t>
      </w:r>
    </w:p>
    <w:p w:rsidR="00B31ADF" w:rsidRDefault="00DB0409">
      <w:pPr>
        <w:pStyle w:val="ListParagraph"/>
        <w:numPr>
          <w:ilvl w:val="0"/>
          <w:numId w:val="2"/>
        </w:numPr>
        <w:spacing w:after="60" w:line="264" w:lineRule="auto"/>
      </w:pPr>
      <w:r>
        <w:t>A prospective clinic'</w:t>
      </w:r>
      <w:r>
        <w:t>s security questionnaire can be answered from the audit binder in days, not weeks — directly supporting the GTM 'security &amp; compliance one-pager' that unblocks IT/compliance gatekeepers.</w:t>
      </w:r>
    </w:p>
    <w:p w:rsidR="00B31ADF" w:rsidRDefault="00DB0409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A HIPAA audit request (SRA, policies, BAAs, training, audit logs) is </w:t>
      </w:r>
      <w:r>
        <w:t>satisfiable from existing artifacts.</w:t>
      </w:r>
    </w:p>
    <w:p w:rsidR="00B31ADF" w:rsidRDefault="00DB0409">
      <w:pPr>
        <w:pStyle w:val="ListParagraph"/>
        <w:numPr>
          <w:ilvl w:val="0"/>
          <w:numId w:val="2"/>
        </w:numPr>
        <w:spacing w:after="60" w:line="264" w:lineRule="auto"/>
      </w:pPr>
      <w:r>
        <w:t>Investor / partner due diligence sees a named governance owner, a live risk register, and evidence the BAA chain and FDA posture are deliberate.</w:t>
      </w:r>
    </w:p>
    <w:p w:rsidR="00B31ADF" w:rsidRDefault="00DB0409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Every production AI feature has a current model card, passing test gates, </w:t>
      </w:r>
      <w:r>
        <w:t>and a governance approval on record.</w:t>
      </w:r>
    </w:p>
    <w:p w:rsidR="00B31ADF" w:rsidRDefault="00B31ADF">
      <w:pPr>
        <w:spacing w:after="120"/>
      </w:pPr>
    </w:p>
    <w:p w:rsidR="00B31ADF" w:rsidRDefault="00DB0409">
      <w:pPr>
        <w:pStyle w:val="Heading2"/>
      </w:pPr>
      <w:r>
        <w:t>5.4 Suggested sequencing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31AD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When</w:t>
            </w:r>
          </w:p>
        </w:tc>
        <w:tc>
          <w:tcPr>
            <w:tcW w:w="7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Compliance milestone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</w:rPr>
              <w:t>Before any real PHI</w:t>
            </w:r>
          </w:p>
        </w:tc>
        <w:tc>
          <w:tcPr>
            <w:tcW w:w="7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BAA chain executed · SRA complete · de-identification validated · FDA CDS memos · core policies · sandbox enforced · gates A–D green.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</w:rPr>
              <w:t>Pilot launch (Weeks 1–8)</w:t>
            </w:r>
          </w:p>
        </w:tc>
        <w:tc>
          <w:tcPr>
            <w:tcW w:w="7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Audit logging live · monitoring + alerts wired · incident runbook rehearsed · AI patient-message disclosures in place · risk register active.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</w:rPr>
              <w:t>During pilot</w:t>
            </w:r>
          </w:p>
        </w:tc>
        <w:tc>
          <w:tcPr>
            <w:tcW w:w="7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Monthly governance review · safety-metric monitoring · override analysis · documentation kept current with every change.</w:t>
            </w:r>
          </w:p>
        </w:tc>
      </w:tr>
      <w:tr w:rsidR="00B31AD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46" w:lineRule="auto"/>
            </w:pPr>
            <w:r>
              <w:rPr>
                <w:b/>
                <w:bCs/>
              </w:rPr>
              <w:t>Before Phase 2</w:t>
            </w:r>
          </w:p>
        </w:tc>
        <w:tc>
          <w:tcPr>
            <w:tcW w:w="7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1ADF" w:rsidRDefault="00DB0409">
            <w:pPr>
              <w:spacing w:line="252" w:lineRule="auto"/>
            </w:pPr>
            <w:r>
              <w:rPr>
                <w:sz w:val="19"/>
                <w:szCs w:val="19"/>
              </w:rPr>
              <w:t>Re-run FDA analysis for billing-AI / medical-necessity features · expand state-law matrix to new geographies · refresh SRA and model cards.</w:t>
            </w:r>
          </w:p>
        </w:tc>
      </w:tr>
    </w:tbl>
    <w:p w:rsidR="00B31ADF" w:rsidRDefault="00B31ADF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1AD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EEDFE"/>
              <w:left w:val="single" w:sz="24" w:space="0" w:color="3C3489"/>
              <w:bottom w:val="single" w:sz="1" w:space="0" w:color="EEEDFE"/>
              <w:right w:val="single" w:sz="1" w:space="0" w:color="EEEDFE"/>
            </w:tcBorders>
            <w:shd w:val="clear" w:color="auto" w:fill="EEEDFE"/>
            <w:tcMar>
              <w:top w:w="110" w:type="dxa"/>
              <w:left w:w="160" w:type="dxa"/>
              <w:bottom w:w="110" w:type="dxa"/>
              <w:right w:w="140" w:type="dxa"/>
            </w:tcMar>
          </w:tcPr>
          <w:p w:rsidR="00B31ADF" w:rsidRDefault="00DB0409">
            <w:pPr>
              <w:spacing w:after="40"/>
            </w:pPr>
            <w:r>
              <w:rPr>
                <w:b/>
                <w:bCs/>
                <w:color w:val="3C3489"/>
                <w:sz w:val="19"/>
                <w:szCs w:val="19"/>
              </w:rPr>
              <w:t>BOTTOM LINE</w:t>
            </w:r>
          </w:p>
          <w:p w:rsidR="00B31ADF" w:rsidRDefault="00DB0409">
            <w:pPr>
              <w:spacing w:line="264" w:lineRule="auto"/>
            </w:pPr>
            <w:r>
              <w:t xml:space="preserve">Synapta has already designed the hard technical controls — de-identification, hallucination detection, confidence thresholding, human-in-the-loop, append-only audit. The compliance work for the MVP is to </w:t>
            </w:r>
            <w:r>
              <w:rPr>
                <w:b/>
                <w:bCs/>
              </w:rPr>
              <w:t>execute the BAA chain, validate the de-identificatio</w:t>
            </w:r>
            <w:r>
              <w:rPr>
                <w:b/>
                <w:bCs/>
              </w:rPr>
              <w:t>n boundary, lock the non-device CDS posture, add the patient-message disclosures, and wrap it all in a documented, gated governance program</w:t>
            </w:r>
            <w:r>
              <w:t xml:space="preserve"> so that the first pilot clinic — and the first auditor — sees a product that is compliant by architecture, not by pr</w:t>
            </w:r>
            <w:r>
              <w:t>omise.</w:t>
            </w:r>
          </w:p>
        </w:tc>
      </w:tr>
    </w:tbl>
    <w:p w:rsidR="00DB0409" w:rsidRDefault="00DB0409"/>
    <w:sectPr w:rsidR="00DB0409">
      <w:headerReference w:type="default" r:id="rId7"/>
      <w:footerReference w:type="default" r:id="rId8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0409" w:rsidRDefault="00DB0409">
      <w:r>
        <w:separator/>
      </w:r>
    </w:p>
  </w:endnote>
  <w:endnote w:type="continuationSeparator" w:id="0">
    <w:p w:rsidR="00DB0409" w:rsidRDefault="00DB04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31ADF" w:rsidRDefault="00DB0409">
    <w:pPr>
      <w:pBdr>
        <w:top w:val="single" w:sz="4" w:space="4" w:color="D3D1C7"/>
      </w:pBdr>
      <w:tabs>
        <w:tab w:val="center" w:pos="4680"/>
        <w:tab w:val="right" w:pos="9360"/>
      </w:tabs>
      <w:spacing w:before="60"/>
    </w:pPr>
    <w:r>
      <w:rPr>
        <w:color w:val="5F5E5A"/>
        <w:sz w:val="15"/>
        <w:szCs w:val="15"/>
      </w:rPr>
      <w:t>Confidential — Internal</w:t>
    </w:r>
    <w:r>
      <w:rPr>
        <w:color w:val="5F5E5A"/>
        <w:sz w:val="15"/>
        <w:szCs w:val="15"/>
      </w:rPr>
      <w:tab/>
      <w:t>© 2026 Synapta Health</w:t>
    </w:r>
    <w:r>
      <w:rPr>
        <w:color w:val="5F5E5A"/>
        <w:sz w:val="15"/>
        <w:szCs w:val="15"/>
      </w:rPr>
      <w:tab/>
      <w:t xml:space="preserve">Page </w:t>
    </w:r>
    <w:r>
      <w:rPr>
        <w:color w:val="5F5E5A"/>
        <w:sz w:val="15"/>
        <w:szCs w:val="15"/>
      </w:rPr>
      <w:fldChar w:fldCharType="begin"/>
    </w:r>
    <w:r>
      <w:rPr>
        <w:color w:val="5F5E5A"/>
        <w:sz w:val="15"/>
        <w:szCs w:val="15"/>
      </w:rPr>
      <w:instrText>PAGE</w:instrText>
    </w:r>
    <w:r w:rsidR="000018D5">
      <w:rPr>
        <w:color w:val="5F5E5A"/>
        <w:sz w:val="15"/>
        <w:szCs w:val="15"/>
      </w:rPr>
      <w:fldChar w:fldCharType="separate"/>
    </w:r>
    <w:r w:rsidR="000018D5">
      <w:rPr>
        <w:noProof/>
        <w:color w:val="5F5E5A"/>
        <w:sz w:val="15"/>
        <w:szCs w:val="15"/>
      </w:rPr>
      <w:t>1</w:t>
    </w:r>
    <w:r>
      <w:rPr>
        <w:color w:val="5F5E5A"/>
        <w:sz w:val="15"/>
        <w:szCs w:val="15"/>
      </w:rPr>
      <w:fldChar w:fldCharType="end"/>
    </w:r>
    <w:r>
      <w:rPr>
        <w:color w:val="5F5E5A"/>
        <w:sz w:val="15"/>
        <w:szCs w:val="15"/>
      </w:rPr>
      <w:t xml:space="preserve"> of </w:t>
    </w:r>
    <w:r>
      <w:rPr>
        <w:color w:val="5F5E5A"/>
        <w:sz w:val="15"/>
        <w:szCs w:val="15"/>
      </w:rPr>
      <w:fldChar w:fldCharType="begin"/>
    </w:r>
    <w:r>
      <w:rPr>
        <w:color w:val="5F5E5A"/>
        <w:sz w:val="15"/>
        <w:szCs w:val="15"/>
      </w:rPr>
      <w:instrText>NUMPAGES</w:instrText>
    </w:r>
    <w:r w:rsidR="000018D5">
      <w:rPr>
        <w:color w:val="5F5E5A"/>
        <w:sz w:val="15"/>
        <w:szCs w:val="15"/>
      </w:rPr>
      <w:fldChar w:fldCharType="separate"/>
    </w:r>
    <w:r w:rsidR="000018D5">
      <w:rPr>
        <w:noProof/>
        <w:color w:val="5F5E5A"/>
        <w:sz w:val="15"/>
        <w:szCs w:val="15"/>
      </w:rPr>
      <w:t>14</w:t>
    </w:r>
    <w:r>
      <w:rPr>
        <w:color w:val="5F5E5A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0409" w:rsidRDefault="00DB0409">
      <w:r>
        <w:separator/>
      </w:r>
    </w:p>
  </w:footnote>
  <w:footnote w:type="continuationSeparator" w:id="0">
    <w:p w:rsidR="00DB0409" w:rsidRDefault="00DB04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200"/>
      <w:gridCol w:w="6160"/>
    </w:tblGrid>
    <w:tr w:rsidR="00B31ADF">
      <w:tblPrEx>
        <w:tblCellMar>
          <w:top w:w="0" w:type="dxa"/>
          <w:bottom w:w="0" w:type="dxa"/>
        </w:tblCellMar>
      </w:tblPrEx>
      <w:tc>
        <w:tcPr>
          <w:tcW w:w="3200" w:type="dxa"/>
          <w:tcBorders>
            <w:top w:val="none" w:sz="0" w:space="0" w:color="FFFFFF"/>
            <w:left w:val="none" w:sz="0" w:space="0" w:color="FFFFFF"/>
            <w:bottom w:val="single" w:sz="4" w:space="0" w:color="D3D1C7"/>
            <w:right w:val="none" w:sz="0" w:space="0" w:color="FFFFFF"/>
          </w:tcBorders>
          <w:tcMar>
            <w:top w:w="0" w:type="dxa"/>
            <w:left w:w="0" w:type="dxa"/>
            <w:bottom w:w="30" w:type="dxa"/>
            <w:right w:w="120" w:type="dxa"/>
          </w:tcMar>
        </w:tcPr>
        <w:p w:rsidR="00B31ADF" w:rsidRDefault="00DB0409">
          <w:r>
            <w:rPr>
              <w:b/>
              <w:bCs/>
              <w:color w:val="0F6E56"/>
              <w:spacing w:val="40"/>
              <w:sz w:val="16"/>
              <w:szCs w:val="16"/>
            </w:rPr>
            <w:t>SYNAPTA HEALTH</w:t>
          </w:r>
        </w:p>
      </w:tc>
      <w:tc>
        <w:tcPr>
          <w:tcW w:w="6160" w:type="dxa"/>
          <w:tcBorders>
            <w:top w:val="none" w:sz="0" w:space="0" w:color="FFFFFF"/>
            <w:left w:val="none" w:sz="0" w:space="0" w:color="FFFFFF"/>
            <w:bottom w:val="single" w:sz="4" w:space="0" w:color="D3D1C7"/>
            <w:right w:val="none" w:sz="0" w:space="0" w:color="FFFFFF"/>
          </w:tcBorders>
          <w:tcMar>
            <w:top w:w="0" w:type="dxa"/>
            <w:left w:w="120" w:type="dxa"/>
            <w:bottom w:w="30" w:type="dxa"/>
            <w:right w:w="0" w:type="dxa"/>
          </w:tcMar>
        </w:tcPr>
        <w:p w:rsidR="00B31ADF" w:rsidRDefault="00DB0409">
          <w:pPr>
            <w:jc w:val="right"/>
          </w:pPr>
          <w:r>
            <w:rPr>
              <w:color w:val="5F5E5A"/>
              <w:sz w:val="16"/>
              <w:szCs w:val="16"/>
            </w:rPr>
            <w:t>MVP Compliance &amp; AI Governance Plan</w:t>
          </w:r>
        </w:p>
      </w:tc>
    </w:tr>
  </w:tbl>
  <w:p w:rsidR="00B31ADF" w:rsidRDefault="00B31AD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7D41D6"/>
    <w:multiLevelType w:val="hybridMultilevel"/>
    <w:tmpl w:val="FE9AFBA2"/>
    <w:lvl w:ilvl="0" w:tplc="F956F34E">
      <w:start w:val="1"/>
      <w:numFmt w:val="bullet"/>
      <w:lvlText w:val="●"/>
      <w:lvlJc w:val="left"/>
      <w:pPr>
        <w:ind w:left="720" w:hanging="360"/>
      </w:pPr>
    </w:lvl>
    <w:lvl w:ilvl="1" w:tplc="95A422CC">
      <w:start w:val="1"/>
      <w:numFmt w:val="bullet"/>
      <w:lvlText w:val="○"/>
      <w:lvlJc w:val="left"/>
      <w:pPr>
        <w:ind w:left="1440" w:hanging="360"/>
      </w:pPr>
    </w:lvl>
    <w:lvl w:ilvl="2" w:tplc="70DC05DC">
      <w:start w:val="1"/>
      <w:numFmt w:val="bullet"/>
      <w:lvlText w:val="■"/>
      <w:lvlJc w:val="left"/>
      <w:pPr>
        <w:ind w:left="2160" w:hanging="360"/>
      </w:pPr>
    </w:lvl>
    <w:lvl w:ilvl="3" w:tplc="11F66D7A">
      <w:start w:val="1"/>
      <w:numFmt w:val="bullet"/>
      <w:lvlText w:val="●"/>
      <w:lvlJc w:val="left"/>
      <w:pPr>
        <w:ind w:left="2880" w:hanging="360"/>
      </w:pPr>
    </w:lvl>
    <w:lvl w:ilvl="4" w:tplc="4A425078">
      <w:start w:val="1"/>
      <w:numFmt w:val="bullet"/>
      <w:lvlText w:val="○"/>
      <w:lvlJc w:val="left"/>
      <w:pPr>
        <w:ind w:left="3600" w:hanging="360"/>
      </w:pPr>
    </w:lvl>
    <w:lvl w:ilvl="5" w:tplc="6C2663B0">
      <w:start w:val="1"/>
      <w:numFmt w:val="bullet"/>
      <w:lvlText w:val="■"/>
      <w:lvlJc w:val="left"/>
      <w:pPr>
        <w:ind w:left="4320" w:hanging="360"/>
      </w:pPr>
    </w:lvl>
    <w:lvl w:ilvl="6" w:tplc="BC8E47BE">
      <w:start w:val="1"/>
      <w:numFmt w:val="bullet"/>
      <w:lvlText w:val="●"/>
      <w:lvlJc w:val="left"/>
      <w:pPr>
        <w:ind w:left="5040" w:hanging="360"/>
      </w:pPr>
    </w:lvl>
    <w:lvl w:ilvl="7" w:tplc="A24CA58C">
      <w:start w:val="1"/>
      <w:numFmt w:val="bullet"/>
      <w:lvlText w:val="●"/>
      <w:lvlJc w:val="left"/>
      <w:pPr>
        <w:ind w:left="5760" w:hanging="360"/>
      </w:pPr>
    </w:lvl>
    <w:lvl w:ilvl="8" w:tplc="8F308C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4F94725"/>
    <w:multiLevelType w:val="hybridMultilevel"/>
    <w:tmpl w:val="20A0EB58"/>
    <w:lvl w:ilvl="0" w:tplc="1D46688E">
      <w:start w:val="1"/>
      <w:numFmt w:val="bullet"/>
      <w:lvlText w:val="•"/>
      <w:lvlJc w:val="left"/>
      <w:pPr>
        <w:ind w:left="460" w:hanging="260"/>
      </w:pPr>
      <w:rPr>
        <w:color w:val="1D9E75"/>
      </w:rPr>
    </w:lvl>
    <w:lvl w:ilvl="1" w:tplc="9CCE1AA8">
      <w:start w:val="1"/>
      <w:numFmt w:val="bullet"/>
      <w:lvlText w:val="–"/>
      <w:lvlJc w:val="left"/>
      <w:pPr>
        <w:ind w:left="900" w:hanging="260"/>
      </w:pPr>
    </w:lvl>
    <w:lvl w:ilvl="2" w:tplc="E050F570">
      <w:numFmt w:val="decimal"/>
      <w:lvlText w:val=""/>
      <w:lvlJc w:val="left"/>
    </w:lvl>
    <w:lvl w:ilvl="3" w:tplc="697C384A">
      <w:numFmt w:val="decimal"/>
      <w:lvlText w:val=""/>
      <w:lvlJc w:val="left"/>
    </w:lvl>
    <w:lvl w:ilvl="4" w:tplc="CB5037F6">
      <w:numFmt w:val="decimal"/>
      <w:lvlText w:val=""/>
      <w:lvlJc w:val="left"/>
    </w:lvl>
    <w:lvl w:ilvl="5" w:tplc="562C4260">
      <w:numFmt w:val="decimal"/>
      <w:lvlText w:val=""/>
      <w:lvlJc w:val="left"/>
    </w:lvl>
    <w:lvl w:ilvl="6" w:tplc="BF966D2E">
      <w:numFmt w:val="decimal"/>
      <w:lvlText w:val=""/>
      <w:lvlJc w:val="left"/>
    </w:lvl>
    <w:lvl w:ilvl="7" w:tplc="16B8F8C6">
      <w:numFmt w:val="decimal"/>
      <w:lvlText w:val=""/>
      <w:lvlJc w:val="left"/>
    </w:lvl>
    <w:lvl w:ilvl="8" w:tplc="5B2ADF58">
      <w:numFmt w:val="decimal"/>
      <w:lvlText w:val=""/>
      <w:lvlJc w:val="left"/>
    </w:lvl>
  </w:abstractNum>
  <w:abstractNum w:abstractNumId="2" w15:restartNumberingAfterBreak="0">
    <w:nsid w:val="611948D0"/>
    <w:multiLevelType w:val="hybridMultilevel"/>
    <w:tmpl w:val="44B09CA8"/>
    <w:lvl w:ilvl="0" w:tplc="5DA2A1BC">
      <w:start w:val="1"/>
      <w:numFmt w:val="decimal"/>
      <w:lvlText w:val="%1."/>
      <w:lvlJc w:val="left"/>
      <w:pPr>
        <w:ind w:left="460" w:hanging="280"/>
      </w:pPr>
      <w:rPr>
        <w:b/>
        <w:bCs/>
        <w:color w:val="0F6E56"/>
      </w:rPr>
    </w:lvl>
    <w:lvl w:ilvl="1" w:tplc="357C66EC">
      <w:numFmt w:val="decimal"/>
      <w:lvlText w:val=""/>
      <w:lvlJc w:val="left"/>
    </w:lvl>
    <w:lvl w:ilvl="2" w:tplc="EAF8F244">
      <w:numFmt w:val="decimal"/>
      <w:lvlText w:val=""/>
      <w:lvlJc w:val="left"/>
    </w:lvl>
    <w:lvl w:ilvl="3" w:tplc="AD38E306">
      <w:numFmt w:val="decimal"/>
      <w:lvlText w:val=""/>
      <w:lvlJc w:val="left"/>
    </w:lvl>
    <w:lvl w:ilvl="4" w:tplc="1DB6452C">
      <w:numFmt w:val="decimal"/>
      <w:lvlText w:val=""/>
      <w:lvlJc w:val="left"/>
    </w:lvl>
    <w:lvl w:ilvl="5" w:tplc="23444A68">
      <w:numFmt w:val="decimal"/>
      <w:lvlText w:val=""/>
      <w:lvlJc w:val="left"/>
    </w:lvl>
    <w:lvl w:ilvl="6" w:tplc="F88CBA2E">
      <w:numFmt w:val="decimal"/>
      <w:lvlText w:val=""/>
      <w:lvlJc w:val="left"/>
    </w:lvl>
    <w:lvl w:ilvl="7" w:tplc="27D6AA30">
      <w:numFmt w:val="decimal"/>
      <w:lvlText w:val=""/>
      <w:lvlJc w:val="left"/>
    </w:lvl>
    <w:lvl w:ilvl="8" w:tplc="A5C86BD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ADF"/>
    <w:rsid w:val="000018D5"/>
    <w:rsid w:val="00B31ADF"/>
    <w:rsid w:val="00DB0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7A7CD30-DE56-44CB-860A-116096D5E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0F1117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8" w:space="6" w:color="5DCAA5"/>
      </w:pBdr>
      <w:spacing w:before="200" w:after="160"/>
      <w:outlineLvl w:val="0"/>
    </w:pPr>
    <w:rPr>
      <w:b/>
      <w:bCs/>
      <w:color w:val="085041"/>
      <w:sz w:val="30"/>
      <w:szCs w:val="30"/>
    </w:rPr>
  </w:style>
  <w:style w:type="paragraph" w:styleId="Heading2">
    <w:name w:val="heading 2"/>
    <w:qFormat/>
    <w:pPr>
      <w:spacing w:before="220" w:after="100"/>
      <w:outlineLvl w:val="1"/>
    </w:pPr>
    <w:rPr>
      <w:b/>
      <w:bCs/>
      <w:color w:val="0F6E56"/>
      <w:sz w:val="24"/>
      <w:szCs w:val="24"/>
    </w:rPr>
  </w:style>
  <w:style w:type="paragraph" w:styleId="Heading3">
    <w:name w:val="heading 3"/>
    <w:qFormat/>
    <w:pPr>
      <w:spacing w:before="160" w:after="80"/>
      <w:outlineLvl w:val="2"/>
    </w:pPr>
    <w:rPr>
      <w:b/>
      <w:bCs/>
      <w:color w:val="3C3489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4435</Words>
  <Characters>25281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Synapta MVP Compliance &amp; AI Governance Plan</vt:lpstr>
    </vt:vector>
  </TitlesOfParts>
  <Company/>
  <LinksUpToDate>false</LinksUpToDate>
  <CharactersWithSpaces>29657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Synapta MVP Compliance &amp; AI Governance Plan</dc:title>
  <dc:creator>Synapta Health — Compliance &amp; Legal</dc:creator>
  <cp:lastModifiedBy>Sanchit Ashtekar</cp:lastModifiedBy>
  <cp:revision>2</cp:revision>
  <dcterms:created xsi:type="dcterms:W3CDTF">2026-07-02T11:00:00Z</dcterms:created>
  <dcterms:modified xsi:type="dcterms:W3CDTF">2026-07-02T11:00:00Z</dcterms:modified>
</cp:coreProperties>
</file>