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360"/>
      </w:pPr>
      <w:r>
        <w:t xml:space="preserve">Risk Management Plan &amp; RMMM Specification</w:t>
      </w:r>
    </w:p>
    <w:p>
      <w:pPr>
        <w:pStyle w:val="Heading1"/>
        <w:spacing w:after="120" w:before="280"/>
      </w:pPr>
      <w:r>
        <w:t xml:space="preserve">Project WikiMove – Migrating a Company Knowledge Base to a New Platform</w:t>
      </w:r>
    </w:p>
    <w:p>
      <w:pPr>
        <w:spacing w:after="120" w:line="260"/>
      </w:pPr>
      <w:r>
        <w:rPr>
          <w:b/>
          <w:bCs/>
          <w:color w:val="1E293B"/>
        </w:rPr>
        <w:t xml:space="preserve">Document Identifier:</w:t>
      </w:r>
      <w:r>
        <w:rPr>
          <w:b w:val="false"/>
          <w:bCs w:val="false"/>
          <w:color w:val="334155"/>
        </w:rPr>
        <w:t xml:space="preserve"> WM-RSK-1.0</w:t>
      </w:r>
    </w:p>
    <w:p>
      <w:pPr>
        <w:spacing w:after="120" w:line="260"/>
      </w:pPr>
      <w:r>
        <w:rPr>
          <w:b/>
          <w:bCs/>
          <w:color w:val="1E293B"/>
        </w:rPr>
        <w:t xml:space="preserve">Project Name:</w:t>
      </w:r>
      <w:r>
        <w:rPr>
          <w:b w:val="false"/>
          <w:bCs w:val="false"/>
          <w:color w:val="334155"/>
        </w:rPr>
        <w:t xml:space="preserve"> WikiMove</w:t>
      </w:r>
    </w:p>
    <w:p>
      <w:pPr>
        <w:spacing w:after="120" w:line="260"/>
      </w:pPr>
      <w:r>
        <w:rPr>
          <w:b/>
          <w:bCs/>
          <w:color w:val="1E293B"/>
        </w:rPr>
        <w:t xml:space="preserve">Course:</w:t>
      </w:r>
      <w:r>
        <w:rPr>
          <w:b w:val="false"/>
          <w:bCs w:val="false"/>
          <w:color w:val="334155"/>
        </w:rPr>
        <w:t xml:space="preserve"> Software Engineering &amp; Project Management</w:t>
      </w:r>
    </w:p>
    <w:p>
      <w:pPr>
        <w:spacing w:after="120" w:line="260"/>
      </w:pPr>
      <w:r>
        <w:rPr>
          <w:b/>
          <w:bCs/>
          <w:color w:val="1E293B"/>
        </w:rPr>
        <w:t xml:space="preserve">Academic Term:</w:t>
      </w:r>
      <w:r>
        <w:rPr>
          <w:b w:val="false"/>
          <w:bCs w:val="false"/>
          <w:color w:val="334155"/>
        </w:rPr>
        <w:t xml:space="preserve"> Final Academic Submission</w:t>
      </w:r>
    </w:p>
    <w:p>
      <w:pPr>
        <w:spacing w:after="120" w:line="260"/>
      </w:pPr>
      <w:r>
        <w:rPr>
          <w:b/>
          <w:bCs/>
          <w:color w:val="1E293B"/>
        </w:rPr>
        <w:t xml:space="preserve">Student Name:</w:t>
      </w:r>
      <w:r>
        <w:rPr>
          <w:b w:val="false"/>
          <w:bCs w:val="false"/>
          <w:color w:val="334155"/>
        </w:rPr>
        <w:t xml:space="preserve"> Sanchita Suryawanshi</w:t>
      </w:r>
    </w:p>
    <w:p>
      <w:pPr>
        <w:spacing w:after="120" w:line="260"/>
      </w:pPr>
      <w:r>
        <w:rPr>
          <w:b/>
          <w:bCs/>
          <w:color w:val="1E293B"/>
        </w:rPr>
        <w:t xml:space="preserve">Roll Number:</w:t>
      </w:r>
      <w:r>
        <w:rPr>
          <w:b w:val="false"/>
          <w:bCs w:val="false"/>
          <w:color w:val="334155"/>
        </w:rPr>
        <w:t xml:space="preserve"> 150096724115</w:t>
      </w:r>
    </w:p>
    <w:p>
      <w:pPr>
        <w:spacing w:after="120" w:line="260"/>
      </w:pPr>
      <w:r>
        <w:rPr>
          <w:b/>
          <w:bCs/>
          <w:color w:val="1E293B"/>
        </w:rPr>
        <w:t xml:space="preserve">Institution:</w:t>
      </w:r>
      <w:r>
        <w:rPr>
          <w:b w:val="false"/>
          <w:bCs w:val="false"/>
          <w:color w:val="334155"/>
        </w:rPr>
        <w:t xml:space="preserve"> [Department of Computer Science &amp; Engineering / University Placeholder]</w:t>
      </w:r>
    </w:p>
    <w:p>
      <w:pPr>
        <w:spacing w:after="120" w:line="260"/>
      </w:pPr>
      <w:r>
        <w:rPr>
          <w:b/>
          <w:bCs/>
          <w:color w:val="1E293B"/>
        </w:rPr>
        <w:t xml:space="preserve">Date:</w:t>
      </w:r>
      <w:r>
        <w:rPr>
          <w:b w:val="false"/>
          <w:bCs w:val="false"/>
          <w:color w:val="334155"/>
        </w:rPr>
        <w:t xml:space="preserve"> Academic Term 2026</w:t>
      </w:r>
    </w:p>
    <w:p>
      <w:pPr>
        <w:spacing w:after="120" w:line="260"/>
      </w:pPr>
      <w:r>
        <w:rPr>
          <w:b/>
          <w:bCs/>
          <w:color w:val="1E293B"/>
        </w:rPr>
        <w:t xml:space="preserve">Status:</w:t>
      </w:r>
      <w:r>
        <w:rPr>
          <w:b w:val="false"/>
          <w:bCs w:val="false"/>
          <w:color w:val="334155"/>
        </w:rPr>
        <w:t xml:space="preserve"> Approved for Academic Submission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Table of Contents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1.  </w:t>
      </w:r>
      <w:r>
        <w:rPr>
          <w:b w:val="false"/>
          <w:bCs w:val="false"/>
          <w:color w:val="334155"/>
        </w:rPr>
        <w:t xml:space="preserve">Executive Summary &amp; Risk Framework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2.  </w:t>
      </w:r>
      <w:r>
        <w:rPr>
          <w:b w:val="false"/>
          <w:bCs w:val="false"/>
          <w:color w:val="334155"/>
        </w:rPr>
        <w:t xml:space="preserve">Quantitative Risk Identification &amp; Exposure Calculation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3.  </w:t>
      </w:r>
      <w:r>
        <w:rPr>
          <w:b w:val="false"/>
          <w:bCs w:val="false"/>
          <w:color w:val="334155"/>
        </w:rPr>
        <w:t xml:space="preserve">Risk Exposure Ranking &amp; Prioritization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4.  </w:t>
      </w:r>
      <w:r>
        <w:rPr>
          <w:b w:val="false"/>
          <w:bCs w:val="false"/>
          <w:color w:val="334155"/>
        </w:rPr>
        <w:t xml:space="preserve">5×5 Probability-Impact Matrix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5.  </w:t>
      </w:r>
      <w:r>
        <w:rPr>
          <w:b w:val="false"/>
          <w:bCs w:val="false"/>
          <w:color w:val="334155"/>
        </w:rPr>
        <w:t xml:space="preserve">Comprehensive Project Risk Register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6.  </w:t>
      </w:r>
      <w:r>
        <w:rPr>
          <w:b w:val="false"/>
          <w:bCs w:val="false"/>
          <w:color w:val="334155"/>
        </w:rPr>
        <w:t xml:space="preserve">Risk Mitigation, Monitoring, and Management (RMMM) Plan (Top 3 Risks)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7.  </w:t>
      </w:r>
      <w:r>
        <w:rPr>
          <w:b w:val="false"/>
          <w:bCs w:val="false"/>
          <w:color w:val="334155"/>
        </w:rPr>
        <w:t xml:space="preserve">Post-Migration Governance Plan (Decay Prevention)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1. Executive Summary &amp; Risk Framework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Risk management in </w:t>
      </w:r>
      <w:r>
        <w:rPr>
          <w:b/>
          <w:bCs/>
          <w:color w:val="1E293B"/>
        </w:rPr>
        <w:t xml:space="preserve">Project WikiMove</w:t>
      </w:r>
      <w:r>
        <w:rPr>
          <w:b w:val="false"/>
          <w:bCs w:val="false"/>
          <w:color w:val="334155"/>
        </w:rPr>
        <w:t xml:space="preserve"> is governed by quantitative risk exposure modeling and proactive mitigation. Operating under an aggressive timeline where the legacy wiki platform licence expires in </w:t>
      </w:r>
      <w:r>
        <w:rPr>
          <w:b/>
          <w:bCs/>
          <w:color w:val="1E293B"/>
        </w:rPr>
        <w:t xml:space="preserve">9 months (~39 weeks)</w:t>
      </w:r>
      <w:r>
        <w:rPr>
          <w:b w:val="false"/>
          <w:bCs w:val="false"/>
          <w:color w:val="334155"/>
        </w:rPr>
        <w:t xml:space="preserve">, the project is exposed to organizational, schedule, technical, and governance risks.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The project employs the standard software engineering Risk Exposure metric: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$$\text{Risk Exposure } (E) = \text{Probability } (P) \times \text{Impact } (I)$$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Where: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Probability ($P$):</w:t>
      </w:r>
      <w:r>
        <w:rPr>
          <w:b w:val="false"/>
          <w:bCs w:val="false"/>
          <w:color w:val="334155"/>
        </w:rPr>
        <w:t xml:space="preserve"> Likelihood of risk occurrence on a normalized scale from $0.0$ to $1.0$.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Impact ($I$):</w:t>
      </w:r>
      <w:r>
        <w:rPr>
          <w:b w:val="false"/>
          <w:bCs w:val="false"/>
          <w:color w:val="334155"/>
        </w:rPr>
        <w:t xml:space="preserve"> Severity of consequence to project objectives on an ordinal scale from $1$ (Negligible) to $10$ (Catastrophic).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Exposure ($E$):</w:t>
      </w:r>
      <w:r>
        <w:rPr>
          <w:b w:val="false"/>
          <w:bCs w:val="false"/>
          <w:color w:val="334155"/>
        </w:rPr>
        <w:t xml:space="preserve"> Composite risk magnitude used to establish strict management ranking.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2. Quantitative Risk Identification &amp; Exposure Calculation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All four primary risks are derived directly from the empirical case study data: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graph LR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R2["Risk 2: Teams Do Not Review (P=0.6, I=7)"] --&gt; E2["Exposure = 4.2 (Rank 1 - Highest)"]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R1["Risk 1: Licence Expires Before End (P=0.4, I=9)"] --&gt; E1["Exposure = 3.6 (Rank 2 - Critical)"]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R3["Risk 3: Broken Links After Migration (P=0.4, I=4)"] --&gt; E3["Exposure = 1.6 (Rank 3 - Moderate)"]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R4["Risk 4: No Owner After Migration (P=0.5, I=1)"] --&gt; E4["Exposure = 0.5 (Rank 4 - Low)"]</w:t>
      </w:r>
    </w:p>
    <w:p>
      <w:pPr>
        <w:pStyle w:val="Heading3"/>
        <w:spacing w:after="80" w:before="160"/>
      </w:pPr>
      <w:r>
        <w:t xml:space="preserve">Risk 1: Licence expires before project completion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Probability ($P_1$):</w:t>
      </w:r>
      <w:r>
        <w:rPr>
          <w:b w:val="false"/>
          <w:bCs w:val="false"/>
          <w:color w:val="334155"/>
        </w:rPr>
        <w:t xml:space="preserve"> $0.4$ (40% likelihood)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Impact ($I_1$):</w:t>
      </w:r>
      <w:r>
        <w:rPr>
          <w:b w:val="false"/>
          <w:bCs w:val="false"/>
          <w:color w:val="334155"/>
        </w:rPr>
        <w:t xml:space="preserve"> $9$ (Catastrophic loss of access to legacy data)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Exposure ($E_1$):</w:t>
      </w:r>
      <w:r>
        <w:rPr>
          <w:b w:val="false"/>
          <w:bCs w:val="false"/>
          <w:color w:val="334155"/>
        </w:rPr>
        <w:t xml:space="preserve"> $0.4 \times 9 = \mathbf{3.6}$</w:t>
      </w:r>
    </w:p>
    <w:p>
      <w:pPr>
        <w:pStyle w:val="Heading3"/>
        <w:spacing w:after="80" w:before="160"/>
      </w:pPr>
      <w:r>
        <w:t xml:space="preserve">Risk 2: Teams do not review pages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Probability ($P_2$):</w:t>
      </w:r>
      <w:r>
        <w:rPr>
          <w:b w:val="false"/>
          <w:bCs w:val="false"/>
          <w:color w:val="334155"/>
        </w:rPr>
        <w:t xml:space="preserve"> $0.6$ (60% likelihood due to sprint pressures)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Impact ($I_2$):</w:t>
      </w:r>
      <w:r>
        <w:rPr>
          <w:b w:val="false"/>
          <w:bCs w:val="false"/>
          <w:color w:val="334155"/>
        </w:rPr>
        <w:t xml:space="preserve"> $7$ (Major breakdown in triage throughput)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Exposure ($E_2$):</w:t>
      </w:r>
      <w:r>
        <w:rPr>
          <w:b w:val="false"/>
          <w:bCs w:val="false"/>
          <w:color w:val="334155"/>
        </w:rPr>
        <w:t xml:space="preserve"> $0.6 \times 7 = \mathbf{4.2}$</w:t>
      </w:r>
    </w:p>
    <w:p>
      <w:pPr>
        <w:pStyle w:val="Heading3"/>
        <w:spacing w:after="80" w:before="160"/>
      </w:pPr>
      <w:r>
        <w:t xml:space="preserve">Risk 3: Broken links after migration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Probability ($P_3$):</w:t>
      </w:r>
      <w:r>
        <w:rPr>
          <w:b w:val="false"/>
          <w:bCs w:val="false"/>
          <w:color w:val="334155"/>
        </w:rPr>
        <w:t xml:space="preserve"> $0.4$ (40% likelihood across 14,000 legacy references)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Impact ($I_3$):</w:t>
      </w:r>
      <w:r>
        <w:rPr>
          <w:b w:val="false"/>
          <w:bCs w:val="false"/>
          <w:color w:val="334155"/>
        </w:rPr>
        <w:t xml:space="preserve"> $4$ (Moderate disruption to engineering workflows)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Exposure ($E_3$):</w:t>
      </w:r>
      <w:r>
        <w:rPr>
          <w:b w:val="false"/>
          <w:bCs w:val="false"/>
          <w:color w:val="334155"/>
        </w:rPr>
        <w:t xml:space="preserve"> $0.4 \times 4 = \mathbf{1.6}$</w:t>
      </w:r>
    </w:p>
    <w:p>
      <w:pPr>
        <w:pStyle w:val="Heading3"/>
        <w:spacing w:after="80" w:before="160"/>
      </w:pPr>
      <w:r>
        <w:t xml:space="preserve">Risk 4: No owner after migration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Probability ($P_4$):</w:t>
      </w:r>
      <w:r>
        <w:rPr>
          <w:b w:val="false"/>
          <w:bCs w:val="false"/>
          <w:color w:val="334155"/>
        </w:rPr>
        <w:t xml:space="preserve"> $0.5$ (50% likelihood without automated enforcement)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Impact ($I_4$):</w:t>
      </w:r>
      <w:r>
        <w:rPr>
          <w:b w:val="false"/>
          <w:bCs w:val="false"/>
          <w:color w:val="334155"/>
        </w:rPr>
        <w:t xml:space="preserve"> $1$ (Minor localized delay in long-term updates)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Exposure ($E_4$):</w:t>
      </w:r>
      <w:r>
        <w:rPr>
          <w:b w:val="false"/>
          <w:bCs w:val="false"/>
          <w:color w:val="334155"/>
        </w:rPr>
        <w:t xml:space="preserve"> $0.5 \times 1 = \mathbf{0.5}$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3. Risk Exposure Ranking &amp; Prioritization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blHeader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Priority Rank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Risk ID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Risk Description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Probability (P)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Impact (I)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Exposure ($E = P \times I$)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Severity Category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Management Focus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R2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Teams do not review pages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0.6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7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4.2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Critical (Highest)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Active RMMM; Executive Sponsor Intervention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R1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Licence expires before project completion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0.4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9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3.6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High (Critical)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Active RMMM; Schedule Gap &amp; Buffer Containment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R3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Broken links after migration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0.4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1.6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Moderate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Active RMMM; Automated URL Rewriting &amp; QA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R4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No owner after migration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0.5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0.5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Low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Standard Operating Procedure; System Gate</w:t>
            </w:r>
          </w:p>
        </w:tc>
      </w:tr>
    </w:tbl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4. 5×5 Probability-Impact Matrix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Impact (1-10) -&gt;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[10] Catastrophic |                          |  R1 (P=0.4, I=9) [E=3.6] |                          |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[ 8] Severe       |                          |                          |  R2 (P=0.6, I=7) [E=4.2] |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[ 6] Major        |                          |                          |                          |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[ 4] Moderate     |                          |  R3 (P=0.4, I=4) [E=1.6] |                          |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[ 2] Minor        |  R4 (P=0.5, I=1) [E=0.5] |                          |                          |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------------------+--------------------------+--------------------------+--------------------------+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Probability (0-1) | Low (0.0 - 0.2)          | Moderate (0.2 - 0.4)     | High (0.4 - 0.7)         | Very High (&gt; 0.7)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Red Zone (Critical Attention):</w:t>
      </w:r>
      <w:r>
        <w:rPr>
          <w:b w:val="false"/>
          <w:bCs w:val="false"/>
          <w:color w:val="334155"/>
        </w:rPr>
        <w:t xml:space="preserve"> R2 ($E=4.2$) and R1 ($E=3.6$) require formalized RMMM plans, executive oversight, and weekly burn-down tracking.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Yellow Zone (Proactive Mitigation):</w:t>
      </w:r>
      <w:r>
        <w:rPr>
          <w:b w:val="false"/>
          <w:bCs w:val="false"/>
          <w:color w:val="334155"/>
        </w:rPr>
        <w:t xml:space="preserve"> R3 ($E=1.6$) requires automated validation scripts and crawler tooling.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Green Zone (Routine Governance):</w:t>
      </w:r>
      <w:r>
        <w:rPr>
          <w:b w:val="false"/>
          <w:bCs w:val="false"/>
          <w:color w:val="334155"/>
        </w:rPr>
        <w:t xml:space="preserve"> R4 ($E=0.5$) is managed programmatically via system-level owner assignment gates.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5. Comprehensive Project Risk Register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rPr>
          <w:tblHeader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Risk ID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Description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P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I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Exposure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Rank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Risk Owner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Mitigation Strategy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Monitoring Mechanism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Trigger Event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Contingency Plan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R2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Teams do not review pages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0.6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7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4.2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CTO &amp;amp; Engineering Leads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Mandatory sprint capacity allocation (1 p-d/wk); pre-triage by Technical Writer.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Weekly triage burndown vs 40 p/d quota.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Team completes &lt; 70% of weekly triage quota for 2 consecutive weeks.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CTO escalates; TW takes over preliminary triage; non-compliant team sprint capacity frozen.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R1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Licence expires before project completion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0.4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9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3.6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Project Manager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Prioritize 7k kept pages; parallelize migration; negotiate bridging buffer.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Milestone gap tracking against Week 39 deadline.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Schedule slip exceeds 10 working days on Critical Path.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Trigger 30-day bridging licence with legacy vendor; compress scope to top 5,000 core pages.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R3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Broken links after migration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0.4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1.6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Technical Writer &amp;amp; QA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Global URL rewrite mapping; regex link checker; automated redirect tables.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Automated crawler link scan reports.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Crawler discovers &gt; 1.0% broken intra-wiki links in a batch.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Roll back batch; apply automated bulk regex rewrite script; manual link remapping.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R4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No owner after migration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0.5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0.5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Governance Custodian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System gate: prohibit migration without named custodian; 90-day review reminder.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Orphan page count on Dashboard (Screen 5).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Unassigned kept page queued for migration.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Reassign page to domain Engineering Manager by default; notify squad lead.</w:t>
            </w:r>
          </w:p>
        </w:tc>
      </w:tr>
    </w:tbl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6. RMMM Plan for Top 3 Risks</w:t>
      </w:r>
    </w:p>
    <w:p>
      <w:pPr>
        <w:pStyle w:val="Heading3"/>
        <w:spacing w:after="80" w:before="160"/>
      </w:pPr>
      <w:r>
        <w:t xml:space="preserve">6.1 RMMM for Risk 2: Teams do not review pages ($E = 4.2$, Rank 1)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Core Problem:</w:t>
      </w:r>
      <w:r>
        <w:rPr>
          <w:b w:val="false"/>
          <w:bCs w:val="false"/>
          <w:color w:val="334155"/>
        </w:rPr>
        <w:t xml:space="preserve"> Engineering teams prioritize roadmap feature delivery over documentation review.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Mitigation (Pre-event Actions):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1.  </w:t>
      </w:r>
      <w:r>
        <w:rPr>
          <w:b w:val="false"/>
          <w:bCs w:val="false"/>
          <w:color w:val="334155"/>
        </w:rPr>
        <w:t xml:space="preserve">Secure formal CTO executive directive establishing 1 person-day per week per team as a non-negotiable KPI.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2.  </w:t>
      </w:r>
      <w:r>
        <w:rPr>
          <w:b w:val="false"/>
          <w:bCs w:val="false"/>
          <w:color w:val="334155"/>
        </w:rPr>
        <w:t xml:space="preserve">Technical Writer pre-filters trivial, empty, and duplicate pages to reduce engineering cognitive load.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3.  </w:t>
      </w:r>
      <w:r>
        <w:rPr>
          <w:b w:val="false"/>
          <w:bCs w:val="false"/>
          <w:color w:val="334155"/>
        </w:rPr>
        <w:t xml:space="preserve">Provide intuitive, 1-click triage UI (Screen 2 &amp; Screen 3) requiring &lt; 12 minutes per page review.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Monitoring:</w:t>
      </w:r>
      <w:r>
        <w:rPr>
          <w:b w:val="false"/>
          <w:bCs w:val="false"/>
          <w:color w:val="334155"/>
        </w:rPr>
        <w:t xml:space="preserve"> Weekly automated triage velocity dashboards presented at Tuesday engineering standups.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Trigger:</w:t>
      </w:r>
      <w:r>
        <w:rPr>
          <w:b w:val="false"/>
          <w:bCs w:val="false"/>
          <w:color w:val="334155"/>
        </w:rPr>
        <w:t xml:space="preserve"> Any team falling more than 20% below their cumulative triage quota by Week 12.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Contingency (Post-trigger Actions):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1.  </w:t>
      </w:r>
      <w:r>
        <w:rPr>
          <w:b w:val="false"/>
          <w:bCs w:val="false"/>
          <w:color w:val="334155"/>
        </w:rPr>
        <w:t xml:space="preserve">Dedicate a focused "Triage Hackathon" day where squads review remaining pages in sprint blocks.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2.  </w:t>
      </w:r>
      <w:r>
        <w:rPr>
          <w:b w:val="false"/>
          <w:bCs w:val="false"/>
          <w:color w:val="334155"/>
        </w:rPr>
        <w:t xml:space="preserve">Technical Writer assumes default decision authority for unreviewed pages (&gt; 60 days inactive = Archive).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Owner:</w:t>
      </w:r>
      <w:r>
        <w:rPr>
          <w:b w:val="false"/>
          <w:bCs w:val="false"/>
          <w:color w:val="334155"/>
        </w:rPr>
        <w:t xml:space="preserve"> Chief Technology Officer &amp; Engineering Team Leads.</w:t>
      </w:r>
    </w:p>
    <w:p>
      <w:pPr>
        <w:pStyle w:val="Heading3"/>
        <w:spacing w:after="80" w:before="160"/>
      </w:pPr>
      <w:r>
        <w:t xml:space="preserve">6.2 RMMM for Risk 1: Licence expires before project completion ($E = 3.6$, Rank 2)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Core Problem:</w:t>
      </w:r>
      <w:r>
        <w:rPr>
          <w:b w:val="false"/>
          <w:bCs w:val="false"/>
          <w:color w:val="334155"/>
        </w:rPr>
        <w:t xml:space="preserve"> Total required effort (630 person-days = 42 weeks) exceeds the 39-week licence duration by 3 weeks.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Mitigation (Pre-event Actions):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1.  </w:t>
      </w:r>
      <w:r>
        <w:rPr>
          <w:b w:val="false"/>
          <w:bCs w:val="false"/>
          <w:color w:val="334155"/>
        </w:rPr>
        <w:t xml:space="preserve">Implement immediate critical path monitoring on activities A5 (Triage) and A7 (Migration).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2.  </w:t>
      </w:r>
      <w:r>
        <w:rPr>
          <w:b w:val="false"/>
          <w:bCs w:val="false"/>
          <w:color w:val="334155"/>
        </w:rPr>
        <w:t xml:space="preserve">Parallelize migration batches (Phase 6) alongside the final weeks of triage (Phase 4).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3.  </w:t>
      </w:r>
      <w:r>
        <w:rPr>
          <w:b w:val="false"/>
          <w:bCs w:val="false"/>
          <w:color w:val="334155"/>
        </w:rPr>
        <w:t xml:space="preserve">Pre-negotiate a commercial 30-day licence extension option with the legacy software vendor.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Monitoring:</w:t>
      </w:r>
      <w:r>
        <w:rPr>
          <w:b w:val="false"/>
          <w:bCs w:val="false"/>
          <w:color w:val="334155"/>
        </w:rPr>
        <w:t xml:space="preserve"> Bi-weekly Critical Path Method (CPM) slack analysis tracking projected cutover vs Week 39.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Trigger:</w:t>
      </w:r>
      <w:r>
        <w:rPr>
          <w:b w:val="false"/>
          <w:bCs w:val="false"/>
          <w:color w:val="334155"/>
        </w:rPr>
        <w:t xml:space="preserve"> Cumulative project progress lags by more than 2 weeks by Milestone M4 (Week 22).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Contingency (Post-trigger Actions):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1.  </w:t>
      </w:r>
      <w:r>
        <w:rPr>
          <w:b/>
          <w:bCs/>
          <w:color w:val="1E293B"/>
        </w:rPr>
        <w:t xml:space="preserve">Option A (Licence Extension):</w:t>
      </w:r>
      <w:r>
        <w:rPr>
          <w:b w:val="false"/>
          <w:bCs w:val="false"/>
          <w:color w:val="334155"/>
        </w:rPr>
        <w:t xml:space="preserve"> Formally activate the 30-day bridging licence through Week 43.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2.  </w:t>
      </w:r>
      <w:r>
        <w:rPr>
          <w:b/>
          <w:bCs/>
          <w:color w:val="1E293B"/>
        </w:rPr>
        <w:t xml:space="preserve">Option B (Resource Uplift):</w:t>
      </w:r>
      <w:r>
        <w:rPr>
          <w:b w:val="false"/>
          <w:bCs w:val="false"/>
          <w:color w:val="334155"/>
        </w:rPr>
        <w:t xml:space="preserve"> Increase Technical Writer capacity from 3 to 5 p-d/week for Weeks 20–36.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3.  </w:t>
      </w:r>
      <w:r>
        <w:rPr>
          <w:b/>
          <w:bCs/>
          <w:color w:val="1E293B"/>
        </w:rPr>
        <w:t xml:space="preserve">Option C (Core Staging):</w:t>
      </w:r>
      <w:r>
        <w:rPr>
          <w:b w:val="false"/>
          <w:bCs w:val="false"/>
          <w:color w:val="334155"/>
        </w:rPr>
        <w:t xml:space="preserve"> Migrate the top 5,000 mission-critical pages by Week 39; perform read-only archival of the remaining 2,000 pages.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Owner:</w:t>
      </w:r>
      <w:r>
        <w:rPr>
          <w:b w:val="false"/>
          <w:bCs w:val="false"/>
          <w:color w:val="334155"/>
        </w:rPr>
        <w:t xml:space="preserve"> Project Manager &amp; CTO.</w:t>
      </w:r>
    </w:p>
    <w:p>
      <w:pPr>
        <w:pStyle w:val="Heading3"/>
        <w:spacing w:after="80" w:before="160"/>
      </w:pPr>
      <w:r>
        <w:t xml:space="preserve">6.3 RMMM for Risk 3: Broken links after migration ($E = 1.6$, Rank 3)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Core Problem:</w:t>
      </w:r>
      <w:r>
        <w:rPr>
          <w:b w:val="false"/>
          <w:bCs w:val="false"/>
          <w:color w:val="334155"/>
        </w:rPr>
        <w:t xml:space="preserve"> 14,000 legacy pages contain inter-page references with hardcoded legacy URL paths that break upon transfer.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Mitigation (Pre-event Actions):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1.  </w:t>
      </w:r>
      <w:r>
        <w:rPr>
          <w:b w:val="false"/>
          <w:bCs w:val="false"/>
          <w:color w:val="334155"/>
        </w:rPr>
        <w:t xml:space="preserve">Build an automated URL remapping lookup table translating legacy page IDs to target platform slugs.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2.  </w:t>
      </w:r>
      <w:r>
        <w:rPr>
          <w:b w:val="false"/>
          <w:bCs w:val="false"/>
          <w:color w:val="334155"/>
        </w:rPr>
        <w:t xml:space="preserve">Establish 301 server redirects on the legacy domain pointing to new platform URLs.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3.  </w:t>
      </w:r>
      <w:r>
        <w:rPr>
          <w:b w:val="false"/>
          <w:bCs w:val="false"/>
          <w:color w:val="334155"/>
        </w:rPr>
        <w:t xml:space="preserve">Execute automated regex hyperlink linters on all batches prior to production release.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Monitoring:</w:t>
      </w:r>
      <w:r>
        <w:rPr>
          <w:b w:val="false"/>
          <w:bCs w:val="false"/>
          <w:color w:val="334155"/>
        </w:rPr>
        <w:t xml:space="preserve"> Automated link crawler verification executing against 100% of migrated content.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Trigger:</w:t>
      </w:r>
      <w:r>
        <w:rPr>
          <w:b w:val="false"/>
          <w:bCs w:val="false"/>
          <w:color w:val="334155"/>
        </w:rPr>
        <w:t xml:space="preserve"> Discovery of any broken internal hyperlink during batch certification.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Contingency (Post-trigger Actions):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1.  </w:t>
      </w:r>
      <w:r>
        <w:rPr>
          <w:b w:val="false"/>
          <w:bCs w:val="false"/>
          <w:color w:val="334155"/>
        </w:rPr>
        <w:t xml:space="preserve">Block batch sign-off; execute automated batch search-and-replace script across broken anchors.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2.  </w:t>
      </w:r>
      <w:r>
        <w:rPr>
          <w:b w:val="false"/>
          <w:bCs w:val="false"/>
          <w:color w:val="334155"/>
        </w:rPr>
        <w:t xml:space="preserve">For links targeting deleted legacy pages, replace anchor with an archived notification stub.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Owner:</w:t>
      </w:r>
      <w:r>
        <w:rPr>
          <w:b w:val="false"/>
          <w:bCs w:val="false"/>
          <w:color w:val="334155"/>
        </w:rPr>
        <w:t xml:space="preserve"> Technical Writer &amp; QA Engineer.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7. Post-Migration Governance Plan (Wiki Decay Prevention)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To honor the CTO’s core objective—ensuring that the new knowledge platform does not decay again over time—WikiMove implements a strict post-migration governance framework: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1.  </w:t>
      </w:r>
      <w:r>
        <w:rPr>
          <w:b/>
          <w:bCs/>
          <w:color w:val="1E293B"/>
        </w:rPr>
        <w:t xml:space="preserve">Mandatory Single Human Custodian:</w:t>
      </w:r>
      <w:r>
        <w:rPr>
          <w:b w:val="false"/>
          <w:bCs w:val="false"/>
          <w:color w:val="334155"/>
        </w:rPr>
        <w:t xml:space="preserve"> Every active wiki page must have one designated, active named owner. Shared group aliases (e.g.,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team@company.com</w:t>
      </w:r>
      <w:r>
        <w:rPr>
          <w:b w:val="false"/>
          <w:bCs w:val="false"/>
          <w:color w:val="334155"/>
        </w:rPr>
        <w:t xml:space="preserve">) are prohibited.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2.  </w:t>
      </w:r>
      <w:r>
        <w:rPr>
          <w:b/>
          <w:bCs/>
          <w:color w:val="1E293B"/>
        </w:rPr>
        <w:t xml:space="preserve">Automated 90-Day Periodic Review:</w:t>
      </w:r>
      <w:r>
        <w:rPr>
          <w:b w:val="false"/>
          <w:bCs w:val="false"/>
          <w:color w:val="334155"/>
        </w:rPr>
        <w:t xml:space="preserve"> Every 90 calendar days from the last certification, the system issues an automated review prompt to the named owner.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3.  </w:t>
      </w:r>
      <w:r>
        <w:rPr>
          <w:b/>
          <w:bCs/>
          <w:color w:val="1E293B"/>
        </w:rPr>
        <w:t xml:space="preserve">Escalation &amp; Orphan Resolution:</w:t>
      </w:r>
      <w:r>
        <w:rPr>
          <w:b w:val="false"/>
          <w:bCs w:val="false"/>
          <w:color w:val="334155"/>
        </w:rPr>
        <w:t xml:space="preserve"> If an owner leaves the company or fails to recertify within 14 days of notice, the page escalates to the domain Engineering Lead.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4.  </w:t>
      </w:r>
      <w:r>
        <w:rPr>
          <w:b/>
          <w:bCs/>
          <w:color w:val="1E293B"/>
        </w:rPr>
        <w:t xml:space="preserve">Semi-Annual Archive Sweep:</w:t>
      </w:r>
      <w:r>
        <w:rPr>
          <w:b w:val="false"/>
          <w:bCs w:val="false"/>
          <w:color w:val="334155"/>
        </w:rPr>
        <w:t xml:space="preserve"> Pages inactive for &gt; 180 days without update or owner confirmation are automatically flagged for archival.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5.  </w:t>
      </w:r>
      <w:r>
        <w:rPr>
          <w:b/>
          <w:bCs/>
          <w:color w:val="1E293B"/>
        </w:rPr>
        <w:t xml:space="preserve">Quarterly Broken Link Audits:</w:t>
      </w:r>
      <w:r>
        <w:rPr>
          <w:b w:val="false"/>
          <w:bCs w:val="false"/>
          <w:color w:val="334155"/>
        </w:rPr>
        <w:t xml:space="preserve"> Automated crawlers scan the entire target platform quarterly, reporting any dead external or internal hyperlinks.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>
      <w:pPr>
        <w:spacing w:after="140"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Management Plan &amp; RMMM</dc:title>
  <dc:creator>Sanchita Suryawanshi (Roll No: 150096724115)</dc:creator>
  <dc:description>WikiMove – Software Engineering &amp; Project Management Portfolio</dc:description>
  <cp:lastModifiedBy>Un-named</cp:lastModifiedBy>
  <cp:revision>1</cp:revision>
  <dcterms:created xsi:type="dcterms:W3CDTF">2026-10-02T18:06:35.312Z</dcterms:created>
  <dcterms:modified xsi:type="dcterms:W3CDTF">2026-10-02T18:06:35.312Z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