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 w:before="360"/>
      </w:pPr>
      <w:r>
        <w:t xml:space="preserve">Comprehensive Final Project Report</w:t>
      </w:r>
    </w:p>
    <w:p>
      <w:pPr>
        <w:pStyle w:val="Heading1"/>
        <w:spacing w:after="120" w:before="280"/>
      </w:pPr>
      <w:r>
        <w:t xml:space="preserve">Project WikiMove – Migrating a Company Knowledge Base to a New Platform</w:t>
      </w:r>
    </w:p>
    <w:p>
      <w:pPr>
        <w:pStyle w:val="Heading2"/>
        <w:spacing w:after="100" w:before="200"/>
      </w:pPr>
      <w:r>
        <w:t xml:space="preserve">Complete Academic Software Engineering &amp; Project Management Portfolio</w:t>
      </w:r>
    </w:p>
    <w:p>
      <w:pPr>
        <w:spacing w:after="120" w:line="260"/>
      </w:pPr>
      <w:r>
        <w:rPr>
          <w:b/>
          <w:bCs/>
          <w:color w:val="1E293B"/>
        </w:rPr>
        <w:t xml:space="preserve">Document Identifier:</w:t>
      </w:r>
      <w:r>
        <w:rPr>
          <w:b w:val="false"/>
          <w:bCs w:val="false"/>
          <w:color w:val="334155"/>
        </w:rPr>
        <w:t xml:space="preserve"> WM-REP-FINAL-1.0</w:t>
      </w:r>
    </w:p>
    <w:p>
      <w:pPr>
        <w:spacing w:after="120" w:line="260"/>
      </w:pPr>
      <w:r>
        <w:rPr>
          <w:b/>
          <w:bCs/>
          <w:color w:val="1E293B"/>
        </w:rPr>
        <w:t xml:space="preserve">Project Name:</w:t>
      </w:r>
      <w:r>
        <w:rPr>
          <w:b w:val="false"/>
          <w:bCs w:val="false"/>
          <w:color w:val="334155"/>
        </w:rPr>
        <w:t xml:space="preserve"> WikiMove</w:t>
      </w:r>
    </w:p>
    <w:p>
      <w:pPr>
        <w:spacing w:after="120" w:line="260"/>
      </w:pPr>
      <w:r>
        <w:rPr>
          <w:b/>
          <w:bCs/>
          <w:color w:val="1E293B"/>
        </w:rPr>
        <w:t xml:space="preserve">Course:</w:t>
      </w:r>
      <w:r>
        <w:rPr>
          <w:b w:val="false"/>
          <w:bCs w:val="false"/>
          <w:color w:val="334155"/>
        </w:rPr>
        <w:t xml:space="preserve"> Software Engineering &amp; Project Management</w:t>
      </w:r>
    </w:p>
    <w:p>
      <w:pPr>
        <w:spacing w:after="120" w:line="260"/>
      </w:pPr>
      <w:r>
        <w:rPr>
          <w:b/>
          <w:bCs/>
          <w:color w:val="1E293B"/>
        </w:rPr>
        <w:t xml:space="preserve">Academic Degree:</w:t>
      </w:r>
      <w:r>
        <w:rPr>
          <w:b w:val="false"/>
          <w:bCs w:val="false"/>
          <w:color w:val="334155"/>
        </w:rPr>
        <w:t xml:space="preserve"> Bachelor of Technology / Master of Science in Computer Science &amp; Engineering</w:t>
      </w:r>
    </w:p>
    <w:p>
      <w:pPr>
        <w:spacing w:after="120" w:line="260"/>
      </w:pPr>
      <w:r>
        <w:rPr>
          <w:b/>
          <w:bCs/>
          <w:color w:val="1E293B"/>
        </w:rPr>
        <w:t xml:space="preserve">Academic Term:</w:t>
      </w:r>
      <w:r>
        <w:rPr>
          <w:b w:val="false"/>
          <w:bCs w:val="false"/>
          <w:color w:val="334155"/>
        </w:rPr>
        <w:t xml:space="preserve"> Final Submission 2026</w:t>
      </w:r>
    </w:p>
    <w:p>
      <w:pPr>
        <w:spacing w:after="120" w:line="260"/>
      </w:pPr>
      <w:r>
        <w:rPr>
          <w:b/>
          <w:bCs/>
          <w:color w:val="1E293B"/>
        </w:rPr>
        <w:t xml:space="preserve">Student Name:</w:t>
      </w:r>
      <w:r>
        <w:rPr>
          <w:b w:val="false"/>
          <w:bCs w:val="false"/>
          <w:color w:val="334155"/>
        </w:rPr>
        <w:t xml:space="preserve"> [Student Name / ID Placeholder]</w:t>
      </w:r>
    </w:p>
    <w:p>
      <w:pPr>
        <w:spacing w:after="120" w:line="260"/>
      </w:pPr>
      <w:r>
        <w:rPr>
          <w:b/>
          <w:bCs/>
          <w:color w:val="1E293B"/>
        </w:rPr>
        <w:t xml:space="preserve">Faculty Evaluator:</w:t>
      </w:r>
      <w:r>
        <w:rPr>
          <w:b w:val="false"/>
          <w:bCs w:val="false"/>
          <w:color w:val="334155"/>
        </w:rPr>
        <w:t xml:space="preserve"> [Course Instructor / Professor Placeholder]</w:t>
      </w:r>
    </w:p>
    <w:p>
      <w:pPr>
        <w:spacing w:after="120" w:line="260"/>
      </w:pPr>
      <w:r>
        <w:rPr>
          <w:b/>
          <w:bCs/>
          <w:color w:val="1E293B"/>
        </w:rPr>
        <w:t xml:space="preserve">Institution:</w:t>
      </w:r>
      <w:r>
        <w:rPr>
          <w:b w:val="false"/>
          <w:bCs w:val="false"/>
          <w:color w:val="334155"/>
        </w:rPr>
        <w:t xml:space="preserve"> [Department of Computer Science &amp; Engineering / University Placeholder]</w:t>
      </w:r>
    </w:p>
    <w:p>
      <w:pPr>
        <w:spacing w:after="120" w:line="260"/>
      </w:pPr>
      <w:r>
        <w:rPr>
          <w:b/>
          <w:bCs/>
          <w:color w:val="1E293B"/>
        </w:rPr>
        <w:t xml:space="preserve">Date of Submission:</w:t>
      </w:r>
      <w:r>
        <w:rPr>
          <w:b w:val="false"/>
          <w:bCs w:val="false"/>
          <w:color w:val="334155"/>
        </w:rPr>
        <w:t xml:space="preserve"> Academic Term 2026</w:t>
      </w:r>
    </w:p>
    <w:p>
      <w:pPr>
        <w:spacing w:after="120" w:line="260"/>
      </w:pPr>
      <w:r>
        <w:rPr>
          <w:b/>
          <w:bCs/>
          <w:color w:val="1E293B"/>
        </w:rPr>
        <w:t xml:space="preserve">Evaluation Status:</w:t>
      </w:r>
      <w:r>
        <w:rPr>
          <w:b w:val="false"/>
          <w:bCs w:val="false"/>
          <w:color w:val="334155"/>
        </w:rPr>
        <w:t xml:space="preserve"> Master Academic Submission Document</w:t>
      </w:r>
    </w:p>
    <w:p>
      <w:pPr>
        <w:pBdr>
          <w:bottom w:val="single" w:color="CBD5E1" w:sz="8"/>
        </w:pBdr>
        <w:spacing w:after="160" w:before="120"/>
      </w:pPr>
    </w:p>
    <w:p>
      <w:pPr>
        <w:pStyle w:val="Heading2"/>
        <w:spacing w:after="100" w:before="200"/>
      </w:pPr>
      <w:r>
        <w:t xml:space="preserve">Abstract &amp; Executive Summary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Over 11 years of continuous agile software engineering, an enterprise software organization accumulated </w:t>
      </w:r>
      <w:r>
        <w:rPr>
          <w:b/>
          <w:bCs/>
          <w:color w:val="1E293B"/>
        </w:rPr>
        <w:t xml:space="preserve">14,000 internal wiki pages</w:t>
      </w:r>
      <w:r>
        <w:rPr>
          <w:b w:val="false"/>
          <w:bCs w:val="false"/>
          <w:color w:val="334155"/>
        </w:rPr>
        <w:t xml:space="preserve">. Because no formal lifecycle governance or content custody was established, the documentation repository decayed: an internal audit revealed that approximately </w:t>
      </w:r>
      <w:r>
        <w:rPr>
          <w:b/>
          <w:bCs/>
          <w:color w:val="1E293B"/>
        </w:rPr>
        <w:t xml:space="preserve">50% of the entire knowledge base (7,000 pages) was outdated, redundant, or orphaned</w:t>
      </w:r>
      <w:r>
        <w:rPr>
          <w:b w:val="false"/>
          <w:bCs w:val="false"/>
          <w:color w:val="334155"/>
        </w:rPr>
        <w:t xml:space="preserve">. Simultaneously, an immovable operational boundary emerged: </w:t>
      </w:r>
      <w:r>
        <w:rPr>
          <w:b/>
          <w:bCs/>
          <w:color w:val="1E293B"/>
        </w:rPr>
        <w:t xml:space="preserve">the legacy platform software licence expires in 9 months (~39 weeks)</w:t>
      </w:r>
      <w:r>
        <w:rPr>
          <w:b w:val="false"/>
          <w:bCs w:val="false"/>
          <w:color w:val="334155"/>
        </w:rPr>
        <w:t xml:space="preserve">.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The Chief Technology Officer (CTO) mandated </w:t>
      </w:r>
      <w:r>
        <w:rPr>
          <w:b/>
          <w:bCs/>
          <w:color w:val="1E293B"/>
        </w:rPr>
        <w:t xml:space="preserve">Project WikiMove</w:t>
      </w:r>
      <w:r>
        <w:rPr>
          <w:b w:val="false"/>
          <w:bCs w:val="false"/>
          <w:color w:val="334155"/>
        </w:rPr>
        <w:t xml:space="preserve"> to transition valuable technical documentation to a modern knowledge platform, permanently decommission obsolete material, and establish mandatory content custody. The project constraints were uniquely demanding: only a single part-time Technical Writer (</w:t>
      </w:r>
      <w:r>
        <w:rPr>
          <w:b/>
          <w:bCs/>
          <w:color w:val="1E293B"/>
        </w:rPr>
        <w:t xml:space="preserve">3 person-days per week</w:t>
      </w:r>
      <w:r>
        <w:rPr>
          <w:b w:val="false"/>
          <w:bCs w:val="false"/>
          <w:color w:val="334155"/>
        </w:rPr>
        <w:t xml:space="preserve">) was dedicated to lead the effort, while </w:t>
      </w:r>
      <w:r>
        <w:rPr>
          <w:b/>
          <w:bCs/>
          <w:color w:val="1E293B"/>
        </w:rPr>
        <w:t xml:space="preserve">12 engineering teams</w:t>
      </w:r>
      <w:r>
        <w:rPr>
          <w:b w:val="false"/>
          <w:bCs w:val="false"/>
          <w:color w:val="334155"/>
        </w:rPr>
        <w:t xml:space="preserve"> contributed </w:t>
      </w:r>
      <w:r>
        <w:rPr>
          <w:b/>
          <w:bCs/>
          <w:color w:val="1E293B"/>
        </w:rPr>
        <w:t xml:space="preserve">1 person-day per week each</w:t>
      </w:r>
      <w:r>
        <w:rPr>
          <w:b w:val="false"/>
          <w:bCs w:val="false"/>
          <w:color w:val="334155"/>
        </w:rPr>
        <w:t xml:space="preserve">, establishing a fixed weekly capacity ceiling of </w:t>
      </w:r>
      <w:r>
        <w:rPr>
          <w:b/>
          <w:bCs/>
          <w:color w:val="1E293B"/>
        </w:rPr>
        <w:t xml:space="preserve">15 person-days per week</w:t>
      </w:r>
      <w:r>
        <w:rPr>
          <w:b w:val="false"/>
          <w:bCs w:val="false"/>
          <w:color w:val="334155"/>
        </w:rPr>
        <w:t xml:space="preserve">.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This comprehensive final report presents the complete software engineering and project management deliverables for WikiMove. Grounded in empirical mathematical modeling: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1.  </w:t>
      </w:r>
      <w:r>
        <w:rPr>
          <w:b/>
          <w:bCs/>
          <w:color w:val="1E293B"/>
        </w:rPr>
        <w:t xml:space="preserve">Total Effort:</w:t>
      </w:r>
      <w:r>
        <w:rPr>
          <w:b w:val="false"/>
          <w:bCs w:val="false"/>
          <w:color w:val="334155"/>
        </w:rPr>
        <w:t xml:space="preserve"> Triage ($14,000 / 40 = 350\text{ p-d}$) + Migration ($7,000 / 25 = 280\text{ p-d}$) = </w:t>
      </w:r>
      <w:r>
        <w:rPr>
          <w:b/>
          <w:bCs/>
          <w:color w:val="1E293B"/>
        </w:rPr>
        <w:t xml:space="preserve">630 person-days</w:t>
      </w:r>
      <w:r>
        <w:rPr>
          <w:b w:val="false"/>
          <w:bCs w:val="false"/>
          <w:color w:val="334155"/>
        </w:rPr>
        <w:t xml:space="preserve">.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2.  </w:t>
      </w:r>
      <w:r>
        <w:rPr>
          <w:b/>
          <w:bCs/>
          <w:color w:val="1E293B"/>
        </w:rPr>
        <w:t xml:space="preserve">Project Duration:</w:t>
      </w:r>
      <w:r>
        <w:rPr>
          <w:b w:val="false"/>
          <w:bCs w:val="false"/>
          <w:color w:val="334155"/>
        </w:rPr>
        <w:t xml:space="preserve"> $630 / 15 = \mathbf{42.0\text{ weeks}}$.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3.  </w:t>
      </w:r>
      <w:r>
        <w:rPr>
          <w:b/>
          <w:bCs/>
          <w:color w:val="1E293B"/>
        </w:rPr>
        <w:t xml:space="preserve">Licence Overrun Conflict:</w:t>
      </w:r>
      <w:r>
        <w:rPr>
          <w:b w:val="false"/>
          <w:bCs w:val="false"/>
          <w:color w:val="334155"/>
        </w:rPr>
        <w:t xml:space="preserve"> 42 weeks required vs. 39 weeks available = </w:t>
      </w:r>
      <w:r>
        <w:rPr>
          <w:b/>
          <w:bCs/>
          <w:color w:val="1E293B"/>
        </w:rPr>
        <w:t xml:space="preserve">+3.0 weeks schedule deficit</w:t>
      </w:r>
      <w:r>
        <w:rPr>
          <w:b w:val="false"/>
          <w:bCs w:val="false"/>
          <w:color w:val="334155"/>
        </w:rPr>
        <w:t xml:space="preserve">, resolved through proactive management contingencies.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4.  </w:t>
      </w:r>
      <w:r>
        <w:rPr>
          <w:b/>
          <w:bCs/>
          <w:color w:val="1E293B"/>
        </w:rPr>
        <w:t xml:space="preserve">Risk Profile:</w:t>
      </w:r>
      <w:r>
        <w:rPr>
          <w:b w:val="false"/>
          <w:bCs w:val="false"/>
          <w:color w:val="334155"/>
        </w:rPr>
        <w:t xml:space="preserve"> R2 (Teams do not review, $E=4.2$) ranked #1; R1 (Licence expiration, $E=3.6$) ranked #2; R3 (Broken links, $E=1.6$) ranked #3; R4 (No owner, $E=0.5$) ranked #4.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The project encompasses a complete IEEE 830 SRS, BRD, UML models (7 diagrams), 6 responsive UI mockups, testing plans, RMMM frameworks, and a sustainable post-migration governance architecture.</w:t>
      </w:r>
    </w:p>
    <w:p>
      <w:pPr>
        <w:pBdr>
          <w:bottom w:val="single" w:color="CBD5E1" w:sz="8"/>
        </w:pBdr>
        <w:spacing w:after="160" w:before="120"/>
      </w:pPr>
    </w:p>
    <w:p>
      <w:pPr>
        <w:pStyle w:val="Heading2"/>
        <w:spacing w:after="100" w:before="200"/>
      </w:pPr>
      <w:r>
        <w:t xml:space="preserve">Table of Contents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1.  </w:t>
      </w:r>
      <w:r>
        <w:rPr>
          <w:b w:val="false"/>
          <w:bCs w:val="false"/>
          <w:color w:val="334155"/>
        </w:rPr>
        <w:t xml:space="preserve">Problem Statement &amp; Operational Genesis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2.  </w:t>
      </w:r>
      <w:r>
        <w:rPr>
          <w:b w:val="false"/>
          <w:bCs w:val="false"/>
          <w:color w:val="334155"/>
        </w:rPr>
        <w:t xml:space="preserve">Project Objectives &amp; Academic Boundaries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3.  </w:t>
      </w:r>
      <w:r>
        <w:rPr>
          <w:b w:val="false"/>
          <w:bCs w:val="false"/>
          <w:color w:val="334155"/>
        </w:rPr>
        <w:t xml:space="preserve">Existing Situation vs. Proposed System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4.  </w:t>
      </w:r>
      <w:r>
        <w:rPr>
          <w:b w:val="false"/>
          <w:bCs w:val="false"/>
          <w:color w:val="334155"/>
        </w:rPr>
        <w:t xml:space="preserve">Business Requirements Document (BRD) Summary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5.  </w:t>
      </w:r>
      <w:r>
        <w:rPr>
          <w:b w:val="false"/>
          <w:bCs w:val="false"/>
          <w:color w:val="334155"/>
        </w:rPr>
        <w:t xml:space="preserve">IEEE 830 Software Requirements Specification (SRS) Summary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6.  </w:t>
      </w:r>
      <w:r>
        <w:rPr>
          <w:b w:val="false"/>
          <w:bCs w:val="false"/>
          <w:color w:val="334155"/>
        </w:rPr>
        <w:t xml:space="preserve">Functional &amp; Non-Functional Requirements Architecture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7.  </w:t>
      </w:r>
      <w:r>
        <w:rPr>
          <w:b w:val="false"/>
          <w:bCs w:val="false"/>
          <w:color w:val="334155"/>
        </w:rPr>
        <w:t xml:space="preserve">UML System Modeling (7 Core Diagrams)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8.  </w:t>
      </w:r>
      <w:r>
        <w:rPr>
          <w:b w:val="false"/>
          <w:bCs w:val="false"/>
          <w:color w:val="334155"/>
        </w:rPr>
        <w:t xml:space="preserve">Simple Logical System Architecture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9.  </w:t>
      </w:r>
      <w:r>
        <w:rPr>
          <w:b w:val="false"/>
          <w:bCs w:val="false"/>
          <w:color w:val="334155"/>
        </w:rPr>
        <w:t xml:space="preserve">UI Design &amp; Prototype Specification (6 Screens)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10.  </w:t>
      </w:r>
      <w:r>
        <w:rPr>
          <w:b w:val="false"/>
          <w:bCs w:val="false"/>
          <w:color w:val="334155"/>
        </w:rPr>
        <w:t xml:space="preserve">Project Management Plan &amp; Work Breakdown Structure (WBS)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11.  </w:t>
      </w:r>
      <w:r>
        <w:rPr>
          <w:b w:val="false"/>
          <w:bCs w:val="false"/>
          <w:color w:val="334155"/>
        </w:rPr>
        <w:t xml:space="preserve">Mathematical Estimation &amp; Schedule Analysis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12.  </w:t>
      </w:r>
      <w:r>
        <w:rPr>
          <w:b w:val="false"/>
          <w:bCs w:val="false"/>
          <w:color w:val="334155"/>
        </w:rPr>
        <w:t xml:space="preserve">Gantt Chart &amp; Milestone Schedule (42 vs. 39 Weeks)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13.  </w:t>
      </w:r>
      <w:r>
        <w:rPr>
          <w:b w:val="false"/>
          <w:bCs w:val="false"/>
          <w:color w:val="334155"/>
        </w:rPr>
        <w:t xml:space="preserve">Critical Path Method (CPM) Analysis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14.  </w:t>
      </w:r>
      <w:r>
        <w:rPr>
          <w:b w:val="false"/>
          <w:bCs w:val="false"/>
          <w:color w:val="334155"/>
        </w:rPr>
        <w:t xml:space="preserve">Testing &amp; Quality Assurance Documentation (BVA, Decision Tables, DRE, Defect Density)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15.  </w:t>
      </w:r>
      <w:r>
        <w:rPr>
          <w:b w:val="false"/>
          <w:bCs w:val="false"/>
          <w:color w:val="334155"/>
        </w:rPr>
        <w:t xml:space="preserve">Quantitative Risk Management &amp; RMMM Plans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16.  </w:t>
      </w:r>
      <w:r>
        <w:rPr>
          <w:b w:val="false"/>
          <w:bCs w:val="false"/>
          <w:color w:val="334155"/>
        </w:rPr>
        <w:t xml:space="preserve">Post-Migration Governance Framework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17.  </w:t>
      </w:r>
      <w:r>
        <w:rPr>
          <w:b w:val="false"/>
          <w:bCs w:val="false"/>
          <w:color w:val="334155"/>
        </w:rPr>
        <w:t xml:space="preserve">Project Closure &amp; Handover State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18.  </w:t>
      </w:r>
      <w:r>
        <w:rPr>
          <w:b w:val="false"/>
          <w:bCs w:val="false"/>
          <w:color w:val="334155"/>
        </w:rPr>
        <w:t xml:space="preserve">Lessons Learned &amp; Academic Post-Mortem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19.  </w:t>
      </w:r>
      <w:r>
        <w:rPr>
          <w:b w:val="false"/>
          <w:bCs w:val="false"/>
          <w:color w:val="334155"/>
        </w:rPr>
        <w:t xml:space="preserve">Conclusion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20.  </w:t>
      </w:r>
      <w:r>
        <w:rPr>
          <w:b w:val="false"/>
          <w:bCs w:val="false"/>
          <w:color w:val="334155"/>
        </w:rPr>
        <w:t xml:space="preserve">References &amp; Appendices</w:t>
      </w:r>
    </w:p>
    <w:p>
      <w:pPr>
        <w:pBdr>
          <w:bottom w:val="single" w:color="CBD5E1" w:sz="8"/>
        </w:pBdr>
        <w:spacing w:after="160" w:before="120"/>
      </w:pPr>
    </w:p>
    <w:p>
      <w:pPr>
        <w:pStyle w:val="Heading2"/>
        <w:spacing w:after="100" w:before="200"/>
      </w:pPr>
      <w:r>
        <w:t xml:space="preserve">1. Problem Statement &amp; Operational Genesis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In fast-paced software organizations, documentation often lags behind production code. Over 11 years, the company's internal wiki suffered from classic documentation entropy: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14,000 Unstructured Pages:</w:t>
      </w:r>
      <w:r>
        <w:rPr>
          <w:b w:val="false"/>
          <w:bCs w:val="false"/>
          <w:color w:val="334155"/>
        </w:rPr>
        <w:t xml:space="preserve"> Accumulation of sprint notes, obsolete API drafts, duplicates, and personal checklists.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50% Decay Factor:</w:t>
      </w:r>
      <w:r>
        <w:rPr>
          <w:b w:val="false"/>
          <w:bCs w:val="false"/>
          <w:color w:val="334155"/>
        </w:rPr>
        <w:t xml:space="preserve"> 7,000 pages contained obsolete configurations, invalid credentials, dead URLs, and deprecated architectures.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Departed Custodians:</w:t>
      </w:r>
      <w:r>
        <w:rPr>
          <w:b w:val="false"/>
          <w:bCs w:val="false"/>
          <w:color w:val="334155"/>
        </w:rPr>
        <w:t xml:space="preserve"> Engineers transitioned or left the firm, leaving thousands of pages orphaned without designated maintenance.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The Licence Imposition:</w:t>
      </w:r>
      <w:r>
        <w:rPr>
          <w:b w:val="false"/>
          <w:bCs w:val="false"/>
          <w:color w:val="334155"/>
        </w:rPr>
        <w:t xml:space="preserve"> The legacy platform licence expires in 9 months (~39 weeks), rendering renewal financially and strategically unviable.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Resource Starvation:</w:t>
      </w:r>
      <w:r>
        <w:rPr>
          <w:b w:val="false"/>
          <w:bCs w:val="false"/>
          <w:color w:val="334155"/>
        </w:rPr>
        <w:t xml:space="preserve"> Engineering teams had zero dedicated time; project ownership defaulted to a single part-time technical writer (3 p-d/wk) and an enforced 1 p-d/wk per squad across 12 teams.</w:t>
      </w:r>
    </w:p>
    <w:p>
      <w:pPr>
        <w:pBdr>
          <w:bottom w:val="single" w:color="CBD5E1" w:sz="8"/>
        </w:pBdr>
        <w:spacing w:after="160" w:before="120"/>
      </w:pPr>
    </w:p>
    <w:p>
      <w:pPr>
        <w:pStyle w:val="Heading2"/>
        <w:spacing w:after="100" w:before="200"/>
      </w:pPr>
      <w:r>
        <w:t xml:space="preserve">2. Project Objectives &amp; Academic Boundaries</w:t>
      </w:r>
    </w:p>
    <w:p>
      <w:pPr>
        <w:pStyle w:val="Heading3"/>
        <w:spacing w:after="80" w:before="160"/>
      </w:pPr>
      <w:r>
        <w:t xml:space="preserve">2.1 Project Objectives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1.  </w:t>
      </w:r>
      <w:r>
        <w:rPr>
          <w:b/>
          <w:bCs/>
          <w:color w:val="1E293B"/>
        </w:rPr>
        <w:t xml:space="preserve">OBJ-01:</w:t>
      </w:r>
      <w:r>
        <w:rPr>
          <w:b w:val="false"/>
          <w:bCs w:val="false"/>
          <w:color w:val="334155"/>
        </w:rPr>
        <w:t xml:space="preserve"> Full inventory and triage of all 14,000 legacy wiki pages.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2.  </w:t>
      </w:r>
      <w:r>
        <w:rPr>
          <w:b/>
          <w:bCs/>
          <w:color w:val="1E293B"/>
        </w:rPr>
        <w:t xml:space="preserve">OBJ-02:</w:t>
      </w:r>
      <w:r>
        <w:rPr>
          <w:b w:val="false"/>
          <w:bCs w:val="false"/>
          <w:color w:val="334155"/>
        </w:rPr>
        <w:t xml:space="preserve"> Quality-gated migration of exactly 7,000 kept pages (50% retention).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3.  </w:t>
      </w:r>
      <w:r>
        <w:rPr>
          <w:b/>
          <w:bCs/>
          <w:color w:val="1E293B"/>
        </w:rPr>
        <w:t xml:space="preserve">OBJ-03:</w:t>
      </w:r>
      <w:r>
        <w:rPr>
          <w:b w:val="false"/>
          <w:bCs w:val="false"/>
          <w:color w:val="334155"/>
        </w:rPr>
        <w:t xml:space="preserve"> Enforce a strict "Zero Orphan Policy" binding every kept page to an active named owner.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4.  </w:t>
      </w:r>
      <w:r>
        <w:rPr>
          <w:b/>
          <w:bCs/>
          <w:color w:val="1E293B"/>
        </w:rPr>
        <w:t xml:space="preserve">OBJ-04:</w:t>
      </w:r>
      <w:r>
        <w:rPr>
          <w:b w:val="false"/>
          <w:bCs w:val="false"/>
          <w:color w:val="334155"/>
        </w:rPr>
        <w:t xml:space="preserve"> Ensure 0.0% broken internal links (NFR-01) and sub-second search discoverability (NFR-02).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5.  </w:t>
      </w:r>
      <w:r>
        <w:rPr>
          <w:b/>
          <w:bCs/>
          <w:color w:val="1E293B"/>
        </w:rPr>
        <w:t xml:space="preserve">OBJ-05:</w:t>
      </w:r>
      <w:r>
        <w:rPr>
          <w:b w:val="false"/>
          <w:bCs w:val="false"/>
          <w:color w:val="334155"/>
        </w:rPr>
        <w:t xml:space="preserve"> Resolve the 3-week schedule gap between baseline duration (42 weeks) and licence expiration (39 weeks).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6.  </w:t>
      </w:r>
      <w:r>
        <w:rPr>
          <w:b/>
          <w:bCs/>
          <w:color w:val="1E293B"/>
        </w:rPr>
        <w:t xml:space="preserve">OBJ-06:</w:t>
      </w:r>
      <w:r>
        <w:rPr>
          <w:b w:val="false"/>
          <w:bCs w:val="false"/>
          <w:color w:val="334155"/>
        </w:rPr>
        <w:t xml:space="preserve"> Establish an automated 90-day periodic revalidation cycle to prevent future decay.</w:t>
      </w:r>
    </w:p>
    <w:p>
      <w:pPr>
        <w:pStyle w:val="Heading3"/>
        <w:spacing w:after="80" w:before="160"/>
      </w:pPr>
      <w:r>
        <w:t xml:space="preserve">2.2 Academic Scope Boundary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Consistent with teacher instructions for Software Engineering and Project Management: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No production backend, cloud microservices, or database engines are deployed.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No Python scripts or runtime dependencies are utilized.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The UI is implemented as a lightweight, static prototype using pure HTML, CSS, and minimal JavaScript.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All documentation is provided in professional, editable DOCX and PDF formats.</w:t>
      </w:r>
    </w:p>
    <w:p>
      <w:pPr>
        <w:pBdr>
          <w:bottom w:val="single" w:color="CBD5E1" w:sz="8"/>
        </w:pBdr>
        <w:spacing w:after="160" w:before="120"/>
      </w:pPr>
    </w:p>
    <w:p>
      <w:pPr>
        <w:pStyle w:val="Heading2"/>
        <w:spacing w:after="100" w:before="200"/>
      </w:pPr>
      <w:r>
        <w:t xml:space="preserve">3. Existing Situation vs. Proposed System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Dimension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Legacy Situation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0F172A"/>
              </w:rPr>
              <w:t xml:space="preserve">WikiMove Proposed Solution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Total Scope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14,000 unmanaged legacy pages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14,000 pages triaged; 7,000 clean pages migrated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Content Accuracy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~50% outdated, misleading, or redundant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100% verified, production-aligned documentation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Page Custody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Thousands of orphaned pages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Mandatory named human owner bound to every page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Governance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Unmanaged growth, zero periodic reviews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Automated 90-day periodic recertification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Licence Deadline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Expiring in 9 months (~39 weeks)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Structured offboarding within available window</w:t>
            </w:r>
          </w:p>
        </w:tc>
      </w:tr>
      <w:tr>
        <w:trPr>
          <w:tblHeader w:val="off"/>
        </w:trP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/>
                <w:bCs/>
                <w:color w:val="1E293B"/>
              </w:rPr>
              <w:t xml:space="preserve">Search &amp; Links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Broken relative URLs, unindexed tags</w:t>
            </w:r>
          </w:p>
        </w:tc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334155"/>
              </w:rPr>
              <w:t xml:space="preserve">100% rewritten URLs, certified search indexing</w:t>
            </w:r>
          </w:p>
        </w:tc>
      </w:tr>
    </w:tbl>
    <w:p>
      <w:pPr>
        <w:pBdr>
          <w:bottom w:val="single" w:color="CBD5E1" w:sz="8"/>
        </w:pBdr>
        <w:spacing w:after="160" w:before="120"/>
      </w:pPr>
    </w:p>
    <w:p>
      <w:pPr>
        <w:pStyle w:val="Heading2"/>
        <w:spacing w:after="100" w:before="200"/>
      </w:pPr>
      <w:r>
        <w:t xml:space="preserve">4. BRD Summary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The Business Requirements Document (</w:t>
      </w:r>
      <w:r>
        <w:rPr>
          <w:rFonts w:ascii="Consolas" w:cs="Consolas" w:eastAsia="Consolas" w:hAnsi="Consolas"/>
          <w:color w:val="0969DA"/>
          <w:shd w:fill="F1F5F9" w:val="clear"/>
        </w:rPr>
        <w:t xml:space="preserve">WikiMove_BRD</w:t>
      </w:r>
      <w:r>
        <w:rPr>
          <w:b w:val="false"/>
          <w:bCs w:val="false"/>
          <w:color w:val="334155"/>
        </w:rPr>
        <w:t xml:space="preserve">) baselines 12 key business requirements (BR-01 to BR-12) and 8 strict business rules: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BRUL-01 (Orphan Prohibition):</w:t>
      </w:r>
      <w:r>
        <w:rPr>
          <w:b w:val="false"/>
          <w:bCs w:val="false"/>
          <w:color w:val="334155"/>
        </w:rPr>
        <w:t xml:space="preserve"> No page can migrate without an active, validated named content owner.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BRUL-04 &amp; BRUL-05 (Velocity Benchmarks):</w:t>
      </w:r>
      <w:r>
        <w:rPr>
          <w:b w:val="false"/>
          <w:bCs w:val="false"/>
          <w:color w:val="334155"/>
        </w:rPr>
        <w:t xml:space="preserve"> Triage fixed at 40 pages/person-day; migration fixed at 25 pages/person-day.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BRUL-06 &amp; BRUL-07 (Capacity &amp; Retention):</w:t>
      </w:r>
      <w:r>
        <w:rPr>
          <w:b w:val="false"/>
          <w:bCs w:val="false"/>
          <w:color w:val="334155"/>
        </w:rPr>
        <w:t xml:space="preserve"> 50% retention (7,000 pages); weekly capacity capped at 15 person-days/week.</w:t>
      </w:r>
    </w:p>
    <w:p>
      <w:pPr>
        <w:pBdr>
          <w:bottom w:val="single" w:color="CBD5E1" w:sz="8"/>
        </w:pBdr>
        <w:spacing w:after="160" w:before="120"/>
      </w:pPr>
    </w:p>
    <w:p>
      <w:pPr>
        <w:pStyle w:val="Heading2"/>
        <w:spacing w:after="100" w:before="200"/>
      </w:pPr>
      <w:r>
        <w:t xml:space="preserve">5. IEEE 830 SRS Summary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The Software Requirements Specification (</w:t>
      </w:r>
      <w:r>
        <w:rPr>
          <w:rFonts w:ascii="Consolas" w:cs="Consolas" w:eastAsia="Consolas" w:hAnsi="Consolas"/>
          <w:color w:val="0969DA"/>
          <w:shd w:fill="F1F5F9" w:val="clear"/>
        </w:rPr>
        <w:t xml:space="preserve">WikiMove_SRS</w:t>
      </w:r>
      <w:r>
        <w:rPr>
          <w:b w:val="false"/>
          <w:bCs w:val="false"/>
          <w:color w:val="334155"/>
        </w:rPr>
        <w:t xml:space="preserve">) defines 15 functional requirements (FR-01 to FR-15) and 10 non-functional requirements (NFR-01 to NFR-10). It provides bidirectional traceability through an IEEE-compliant Requirements Traceability Matrix (RTM) linking all functional specifications to verification test cases.</w:t>
      </w:r>
    </w:p>
    <w:p>
      <w:pPr>
        <w:pBdr>
          <w:bottom w:val="single" w:color="CBD5E1" w:sz="8"/>
        </w:pBdr>
        <w:spacing w:after="160" w:before="120"/>
      </w:pPr>
    </w:p>
    <w:p>
      <w:pPr>
        <w:pStyle w:val="Heading2"/>
        <w:spacing w:after="100" w:before="200"/>
      </w:pPr>
      <w:r>
        <w:t xml:space="preserve">6. Functional &amp; Non-Functional Requirements Architecture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Functional Scope (FR-01..FR-15):</w:t>
      </w:r>
      <w:r>
        <w:rPr>
          <w:b w:val="false"/>
          <w:bCs w:val="false"/>
          <w:color w:val="334155"/>
        </w:rPr>
        <w:t xml:space="preserve"> Page inventory ingestion, review UI, Keep/Archive/Delete classification engine, named owner binding, migration batch planning (25 p/d), link validation crawler, search discoverability tester, 42-week schedule tracking, risk exposure ranking, and 90-day governance rules.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Key NFRs: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rFonts w:ascii="Consolas" w:cs="Consolas" w:eastAsia="Consolas" w:hAnsi="Consolas"/>
          <w:color w:val="0969DA"/>
          <w:shd w:fill="F1F5F9" w:val="clear"/>
        </w:rPr>
        <w:t xml:space="preserve">NFR-01 (Link Integrity):</w:t>
      </w:r>
      <w:r>
        <w:rPr>
          <w:b w:val="false"/>
          <w:bCs w:val="false"/>
          <w:color w:val="334155"/>
        </w:rPr>
        <w:t xml:space="preserve"> 0.0% broken internal links across 7,000 migrated pages.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rFonts w:ascii="Consolas" w:cs="Consolas" w:eastAsia="Consolas" w:hAnsi="Consolas"/>
          <w:color w:val="0969DA"/>
          <w:shd w:fill="F1F5F9" w:val="clear"/>
        </w:rPr>
        <w:t xml:space="preserve">NFR-02 (Search Performance):</w:t>
      </w:r>
      <w:r>
        <w:rPr>
          <w:b w:val="false"/>
          <w:bCs w:val="false"/>
          <w:color w:val="334155"/>
        </w:rPr>
        <w:t xml:space="preserve"> Search query response latency &lt; 1.0 second.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rFonts w:ascii="Consolas" w:cs="Consolas" w:eastAsia="Consolas" w:hAnsi="Consolas"/>
          <w:color w:val="0969DA"/>
          <w:shd w:fill="F1F5F9" w:val="clear"/>
        </w:rPr>
        <w:t xml:space="preserve">NFR-04 (Usability):</w:t>
      </w:r>
      <w:r>
        <w:rPr>
          <w:b w:val="false"/>
          <w:bCs w:val="false"/>
          <w:color w:val="334155"/>
        </w:rPr>
        <w:t xml:space="preserve"> Mean review duration &lt; 12 minutes/page (supporting 40 p/d triage quota).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rFonts w:ascii="Consolas" w:cs="Consolas" w:eastAsia="Consolas" w:hAnsi="Consolas"/>
          <w:color w:val="0969DA"/>
          <w:shd w:fill="F1F5F9" w:val="clear"/>
        </w:rPr>
        <w:t xml:space="preserve">NFR-08 (Auditability):</w:t>
      </w:r>
      <w:r>
        <w:rPr>
          <w:b w:val="false"/>
          <w:bCs w:val="false"/>
          <w:color w:val="334155"/>
        </w:rPr>
        <w:t xml:space="preserve"> 100% captured event history for all triage and owner changes.</w:t>
      </w:r>
    </w:p>
    <w:p>
      <w:pPr>
        <w:pBdr>
          <w:bottom w:val="single" w:color="CBD5E1" w:sz="8"/>
        </w:pBdr>
        <w:spacing w:after="160" w:before="120"/>
      </w:pPr>
    </w:p>
    <w:p>
      <w:pPr>
        <w:pStyle w:val="Heading2"/>
        <w:spacing w:after="100" w:before="200"/>
      </w:pPr>
      <w:r>
        <w:t xml:space="preserve">7. UML System Modeling (7 Core Diagrams)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The proposed WikiMove platform is formally specified across 7 vector UML and system diagrams: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1.  </w:t>
      </w:r>
      <w:r>
        <w:rPr>
          <w:b/>
          <w:bCs/>
          <w:color w:val="1E293B"/>
        </w:rPr>
        <w:t xml:space="preserve">System Context Diagram (`Context_Diagram.svg`):</w:t>
      </w:r>
      <w:r>
        <w:rPr>
          <w:b w:val="false"/>
          <w:bCs w:val="false"/>
          <w:color w:val="334155"/>
        </w:rPr>
        <w:t xml:space="preserve"> Establishes external actors (CTO, Technical Writer, 12 Engineering Teams, QA) interacting with the WikiMove system boundary between legacy and target platforms.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2.  </w:t>
      </w:r>
      <w:r>
        <w:rPr>
          <w:b/>
          <w:bCs/>
          <w:color w:val="1E293B"/>
        </w:rPr>
        <w:t xml:space="preserve">Use Case Diagram (`Use_Case_Diagram.svg`):</w:t>
      </w:r>
      <w:r>
        <w:rPr>
          <w:b w:val="false"/>
          <w:bCs w:val="false"/>
          <w:color w:val="334155"/>
        </w:rPr>
        <w:t xml:space="preserve"> Maps 6 actors to 11 functional use cases (View Dashboard, Review Page, Classify Page, Keep/Archive/Delete, Assign Owner, Plan Migration, Track Risks, etc.).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3.  </w:t>
      </w:r>
      <w:r>
        <w:rPr>
          <w:b/>
          <w:bCs/>
          <w:color w:val="1E293B"/>
        </w:rPr>
        <w:t xml:space="preserve">Class Diagram (`Class_Diagram.svg`):</w:t>
      </w:r>
      <w:r>
        <w:rPr>
          <w:b w:val="false"/>
          <w:bCs w:val="false"/>
          <w:color w:val="334155"/>
        </w:rPr>
        <w:t xml:space="preserve"> Models core entity structures including </w:t>
      </w:r>
      <w:r>
        <w:rPr>
          <w:rFonts w:ascii="Consolas" w:cs="Consolas" w:eastAsia="Consolas" w:hAnsi="Consolas"/>
          <w:color w:val="0969DA"/>
          <w:shd w:fill="F1F5F9" w:val="clear"/>
        </w:rPr>
        <w:t xml:space="preserve">WikiPage</w:t>
      </w:r>
      <w:r>
        <w:rPr>
          <w:b w:val="false"/>
          <w:bCs w:val="false"/>
          <w:color w:val="334155"/>
        </w:rPr>
        <w:t xml:space="preserve">, </w:t>
      </w:r>
      <w:r>
        <w:rPr>
          <w:rFonts w:ascii="Consolas" w:cs="Consolas" w:eastAsia="Consolas" w:hAnsi="Consolas"/>
          <w:color w:val="0969DA"/>
          <w:shd w:fill="F1F5F9" w:val="clear"/>
        </w:rPr>
        <w:t xml:space="preserve">TriageDecision</w:t>
      </w:r>
      <w:r>
        <w:rPr>
          <w:b w:val="false"/>
          <w:bCs w:val="false"/>
          <w:color w:val="334155"/>
        </w:rPr>
        <w:t xml:space="preserve">, </w:t>
      </w:r>
      <w:r>
        <w:rPr>
          <w:rFonts w:ascii="Consolas" w:cs="Consolas" w:eastAsia="Consolas" w:hAnsi="Consolas"/>
          <w:color w:val="0969DA"/>
          <w:shd w:fill="F1F5F9" w:val="clear"/>
        </w:rPr>
        <w:t xml:space="preserve">Owner</w:t>
      </w:r>
      <w:r>
        <w:rPr>
          <w:b w:val="false"/>
          <w:bCs w:val="false"/>
          <w:color w:val="334155"/>
        </w:rPr>
        <w:t xml:space="preserve">, </w:t>
      </w:r>
      <w:r>
        <w:rPr>
          <w:rFonts w:ascii="Consolas" w:cs="Consolas" w:eastAsia="Consolas" w:hAnsi="Consolas"/>
          <w:color w:val="0969DA"/>
          <w:shd w:fill="F1F5F9" w:val="clear"/>
        </w:rPr>
        <w:t xml:space="preserve">EngineeringTeam</w:t>
      </w:r>
      <w:r>
        <w:rPr>
          <w:b w:val="false"/>
          <w:bCs w:val="false"/>
          <w:color w:val="334155"/>
        </w:rPr>
        <w:t xml:space="preserve">, </w:t>
      </w:r>
      <w:r>
        <w:rPr>
          <w:rFonts w:ascii="Consolas" w:cs="Consolas" w:eastAsia="Consolas" w:hAnsi="Consolas"/>
          <w:color w:val="0969DA"/>
          <w:shd w:fill="F1F5F9" w:val="clear"/>
        </w:rPr>
        <w:t xml:space="preserve">MigrationBatch</w:t>
      </w:r>
      <w:r>
        <w:rPr>
          <w:b w:val="false"/>
          <w:bCs w:val="false"/>
          <w:color w:val="334155"/>
        </w:rPr>
        <w:t xml:space="preserve">, </w:t>
      </w:r>
      <w:r>
        <w:rPr>
          <w:rFonts w:ascii="Consolas" w:cs="Consolas" w:eastAsia="Consolas" w:hAnsi="Consolas"/>
          <w:color w:val="0969DA"/>
          <w:shd w:fill="F1F5F9" w:val="clear"/>
        </w:rPr>
        <w:t xml:space="preserve">ValidationResult</w:t>
      </w:r>
      <w:r>
        <w:rPr>
          <w:b w:val="false"/>
          <w:bCs w:val="false"/>
          <w:color w:val="334155"/>
        </w:rPr>
        <w:t xml:space="preserve">, </w:t>
      </w:r>
      <w:r>
        <w:rPr>
          <w:rFonts w:ascii="Consolas" w:cs="Consolas" w:eastAsia="Consolas" w:hAnsi="Consolas"/>
          <w:color w:val="0969DA"/>
          <w:shd w:fill="F1F5F9" w:val="clear"/>
        </w:rPr>
        <w:t xml:space="preserve">RiskItem</w:t>
      </w:r>
      <w:r>
        <w:rPr>
          <w:b w:val="false"/>
          <w:bCs w:val="false"/>
          <w:color w:val="334155"/>
        </w:rPr>
        <w:t xml:space="preserve">, and </w:t>
      </w:r>
      <w:r>
        <w:rPr>
          <w:rFonts w:ascii="Consolas" w:cs="Consolas" w:eastAsia="Consolas" w:hAnsi="Consolas"/>
          <w:color w:val="0969DA"/>
          <w:shd w:fill="F1F5F9" w:val="clear"/>
        </w:rPr>
        <w:t xml:space="preserve">ProjectSchedule</w:t>
      </w:r>
      <w:r>
        <w:rPr>
          <w:b w:val="false"/>
          <w:bCs w:val="false"/>
          <w:color w:val="334155"/>
        </w:rPr>
        <w:t xml:space="preserve">.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4.  </w:t>
      </w:r>
      <w:r>
        <w:rPr>
          <w:b/>
          <w:bCs/>
          <w:color w:val="1E293B"/>
        </w:rPr>
        <w:t xml:space="preserve">Sequence Diagram (`Sequence_Diagram.svg`):</w:t>
      </w:r>
      <w:r>
        <w:rPr>
          <w:b w:val="false"/>
          <w:bCs w:val="false"/>
          <w:color w:val="334155"/>
        </w:rPr>
        <w:t xml:space="preserve"> Illustrates the message interchange across Reviewer, UI, TriageManager, Catalog, and Target Platform for triage and migration.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5.  </w:t>
      </w:r>
      <w:r>
        <w:rPr>
          <w:b/>
          <w:bCs/>
          <w:color w:val="1E293B"/>
        </w:rPr>
        <w:t xml:space="preserve">Activity Diagram (`Activity_Diagram.svg`):</w:t>
      </w:r>
      <w:r>
        <w:rPr>
          <w:b w:val="false"/>
          <w:bCs w:val="false"/>
          <w:color w:val="334155"/>
        </w:rPr>
        <w:t xml:space="preserve"> Specifies decision logic, condition branching (current? historical value? owner assigned?), and batch queues.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6.  </w:t>
      </w:r>
      <w:r>
        <w:rPr>
          <w:b/>
          <w:bCs/>
          <w:color w:val="1E293B"/>
        </w:rPr>
        <w:t xml:space="preserve">State Machine Diagram (`State_Diagram.svg`):</w:t>
      </w:r>
      <w:r>
        <w:rPr>
          <w:b w:val="false"/>
          <w:bCs w:val="false"/>
          <w:color w:val="334155"/>
        </w:rPr>
        <w:t xml:space="preserve"> Tracks page lifecycle states from </w:t>
      </w:r>
      <w:r>
        <w:rPr>
          <w:rFonts w:ascii="Consolas" w:cs="Consolas" w:eastAsia="Consolas" w:hAnsi="Consolas"/>
          <w:color w:val="0969DA"/>
          <w:shd w:fill="F1F5F9" w:val="clear"/>
        </w:rPr>
        <w:t xml:space="preserve">Discovered</w:t>
      </w:r>
      <w:r>
        <w:rPr>
          <w:b w:val="false"/>
          <w:bCs w:val="false"/>
          <w:color w:val="334155"/>
        </w:rPr>
        <w:t xml:space="preserve"> to </w:t>
      </w:r>
      <w:r>
        <w:rPr>
          <w:rFonts w:ascii="Consolas" w:cs="Consolas" w:eastAsia="Consolas" w:hAnsi="Consolas"/>
          <w:color w:val="0969DA"/>
          <w:shd w:fill="F1F5F9" w:val="clear"/>
        </w:rPr>
        <w:t xml:space="preserve">UnderReview</w:t>
      </w:r>
      <w:r>
        <w:rPr>
          <w:b w:val="false"/>
          <w:bCs w:val="false"/>
          <w:color w:val="334155"/>
        </w:rPr>
        <w:t xml:space="preserve">, </w:t>
      </w:r>
      <w:r>
        <w:rPr>
          <w:rFonts w:ascii="Consolas" w:cs="Consolas" w:eastAsia="Consolas" w:hAnsi="Consolas"/>
          <w:color w:val="0969DA"/>
          <w:shd w:fill="F1F5F9" w:val="clear"/>
        </w:rPr>
        <w:t xml:space="preserve">Deleted</w:t>
      </w:r>
      <w:r>
        <w:rPr>
          <w:b w:val="false"/>
          <w:bCs w:val="false"/>
          <w:color w:val="334155"/>
        </w:rPr>
        <w:t xml:space="preserve">, </w:t>
      </w:r>
      <w:r>
        <w:rPr>
          <w:rFonts w:ascii="Consolas" w:cs="Consolas" w:eastAsia="Consolas" w:hAnsi="Consolas"/>
          <w:color w:val="0969DA"/>
          <w:shd w:fill="F1F5F9" w:val="clear"/>
        </w:rPr>
        <w:t xml:space="preserve">Archived</w:t>
      </w:r>
      <w:r>
        <w:rPr>
          <w:b w:val="false"/>
          <w:bCs w:val="false"/>
          <w:color w:val="334155"/>
        </w:rPr>
        <w:t xml:space="preserve">, </w:t>
      </w:r>
      <w:r>
        <w:rPr>
          <w:rFonts w:ascii="Consolas" w:cs="Consolas" w:eastAsia="Consolas" w:hAnsi="Consolas"/>
          <w:color w:val="0969DA"/>
          <w:shd w:fill="F1F5F9" w:val="clear"/>
        </w:rPr>
        <w:t xml:space="preserve">OwnerAssigned</w:t>
      </w:r>
      <w:r>
        <w:rPr>
          <w:b w:val="false"/>
          <w:bCs w:val="false"/>
          <w:color w:val="334155"/>
        </w:rPr>
        <w:t xml:space="preserve">, </w:t>
      </w:r>
      <w:r>
        <w:rPr>
          <w:rFonts w:ascii="Consolas" w:cs="Consolas" w:eastAsia="Consolas" w:hAnsi="Consolas"/>
          <w:color w:val="0969DA"/>
          <w:shd w:fill="F1F5F9" w:val="clear"/>
        </w:rPr>
        <w:t xml:space="preserve">Migrated</w:t>
      </w:r>
      <w:r>
        <w:rPr>
          <w:b w:val="false"/>
          <w:bCs w:val="false"/>
          <w:color w:val="334155"/>
        </w:rPr>
        <w:t xml:space="preserve">, </w:t>
      </w:r>
      <w:r>
        <w:rPr>
          <w:rFonts w:ascii="Consolas" w:cs="Consolas" w:eastAsia="Consolas" w:hAnsi="Consolas"/>
          <w:color w:val="0969DA"/>
          <w:shd w:fill="F1F5F9" w:val="clear"/>
        </w:rPr>
        <w:t xml:space="preserve">Validated</w:t>
      </w:r>
      <w:r>
        <w:rPr>
          <w:b w:val="false"/>
          <w:bCs w:val="false"/>
          <w:color w:val="334155"/>
        </w:rPr>
        <w:t xml:space="preserve">, and </w:t>
      </w:r>
      <w:r>
        <w:rPr>
          <w:rFonts w:ascii="Consolas" w:cs="Consolas" w:eastAsia="Consolas" w:hAnsi="Consolas"/>
          <w:color w:val="0969DA"/>
          <w:shd w:fill="F1F5F9" w:val="clear"/>
        </w:rPr>
        <w:t xml:space="preserve">ActiveGoverned</w:t>
      </w:r>
      <w:r>
        <w:rPr>
          <w:b w:val="false"/>
          <w:bCs w:val="false"/>
          <w:color w:val="334155"/>
        </w:rPr>
        <w:t xml:space="preserve">.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7.  </w:t>
      </w:r>
      <w:r>
        <w:rPr>
          <w:b/>
          <w:bCs/>
          <w:color w:val="1E293B"/>
        </w:rPr>
        <w:t xml:space="preserve">Logical Architecture Diagram (`Architecture_Diagram.svg`):</w:t>
      </w:r>
      <w:r>
        <w:rPr>
          <w:b w:val="false"/>
          <w:bCs w:val="false"/>
          <w:color w:val="334155"/>
        </w:rPr>
        <w:t xml:space="preserve"> Presents a 4-tier layered architectural model separating UI prototypes, management services, data models, and external platforms.</w:t>
      </w:r>
    </w:p>
    <w:p>
      <w:pPr>
        <w:pBdr>
          <w:bottom w:val="single" w:color="CBD5E1" w:sz="8"/>
        </w:pBdr>
        <w:spacing w:after="160" w:before="120"/>
      </w:pPr>
    </w:p>
    <w:p>
      <w:pPr>
        <w:pStyle w:val="Heading2"/>
        <w:spacing w:after="100" w:before="200"/>
      </w:pPr>
      <w:r>
        <w:t xml:space="preserve">8. Simple Logical System Architecture</w:t>
      </w:r>
    </w:p>
    <w:p>
      <w:pPr>
        <w:shd w:fill="F8FAFC" w:val="clear"/>
        <w:spacing w:after="40" w:line="2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8FAFC" w:val="clear"/>
        <w:spacing w:after="40" w:line="2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1. PRESENTATION LAYER: Responsive Static Prototype (6 HTML/CSS Screens) │</w:t>
      </w:r>
    </w:p>
    <w:p>
      <w:pPr>
        <w:shd w:fill="F8FAFC" w:val="clear"/>
        <w:spacing w:after="40" w:line="2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[Screen 1: Dashboard] [Screen 2: Triage] [Screen 3: Review]            │</w:t>
      </w:r>
    </w:p>
    <w:p>
      <w:pPr>
        <w:shd w:fill="F8FAFC" w:val="clear"/>
        <w:spacing w:after="40" w:line="2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[Screen 4: Migration] [Screen 5: Ownership] [Screen 6: Risks &amp; Status] │</w:t>
      </w:r>
    </w:p>
    <w:p>
      <w:pPr>
        <w:shd w:fill="F8FAFC" w:val="clear"/>
        <w:spacing w:after="40" w:line="2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└───────────────────────────────────┬────────────────────────────────────┘</w:t>
      </w:r>
    </w:p>
    <w:p>
      <w:pPr>
        <w:shd w:fill="F8FAFC" w:val="clear"/>
        <w:spacing w:after="40" w:line="2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                            │ HTTP / DOM Events</w:t>
      </w:r>
    </w:p>
    <w:p>
      <w:pPr>
        <w:shd w:fill="F8FAFC" w:val="clear"/>
        <w:spacing w:after="40" w:line="2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┌───────────────────────────────────▼────────────────────────────────────┐</w:t>
      </w:r>
    </w:p>
    <w:p>
      <w:pPr>
        <w:shd w:fill="F8FAFC" w:val="clear"/>
        <w:spacing w:after="40" w:line="2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2. APPLICATION MANAGEMENT LAYER (Proposed Workflow Specifications)    │</w:t>
      </w:r>
    </w:p>
    <w:p>
      <w:pPr>
        <w:shd w:fill="F8FAFC" w:val="clear"/>
        <w:spacing w:after="40" w:line="2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• Inventory &amp; Triage (40 p/d)    • Ownership Custody Registry         │</w:t>
      </w:r>
    </w:p>
    <w:p>
      <w:pPr>
        <w:shd w:fill="F8FAFC" w:val="clear"/>
        <w:spacing w:after="40" w:line="2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• Migration Batching (25 p/d)     • Schedule &amp; Risk Guard (42 vs 39 Wk)│</w:t>
      </w:r>
    </w:p>
    <w:p>
      <w:pPr>
        <w:shd w:fill="F8FAFC" w:val="clear"/>
        <w:spacing w:after="40" w:line="2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└───────────────────────────────────┬────────────────────────────────────┘</w:t>
      </w:r>
    </w:p>
    <w:p>
      <w:pPr>
        <w:shd w:fill="F8FAFC" w:val="clear"/>
        <w:spacing w:after="40" w:line="2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                            │ Data Abstraction</w:t>
      </w:r>
    </w:p>
    <w:p>
      <w:pPr>
        <w:shd w:fill="F8FAFC" w:val="clear"/>
        <w:spacing w:after="40" w:line="2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┌───────────────────────────────────▼────────────────────────────────────┐</w:t>
      </w:r>
    </w:p>
    <w:p>
      <w:pPr>
        <w:shd w:fill="F8FAFC" w:val="clear"/>
        <w:spacing w:after="40" w:line="2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3. DATA &amp; TRACEABILITY MODEL LAYER (Proposed Schemas)                  │</w:t>
      </w:r>
    </w:p>
    <w:p>
      <w:pPr>
        <w:shd w:fill="F8FAFC" w:val="clear"/>
        <w:spacing w:after="40" w:line="2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• 14,000 Legacy Page Records     • RTM Traceability Schema             │</w:t>
      </w:r>
    </w:p>
    <w:p>
      <w:pPr>
        <w:shd w:fill="F8FAFC" w:val="clear"/>
        <w:spacing w:after="40" w:line="2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• Triage &amp; Decision Audit Logs    • Defect Density &amp; DRE Logs          │</w:t>
      </w:r>
    </w:p>
    <w:p>
      <w:pPr>
        <w:shd w:fill="F8FAFC" w:val="clear"/>
        <w:spacing w:after="40" w:line="2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└───────────────────────────────────┬────────────────────────────────────┘</w:t>
      </w:r>
    </w:p>
    <w:p>
      <w:pPr>
        <w:shd w:fill="F8FAFC" w:val="clear"/>
        <w:spacing w:after="40" w:line="2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                            │ Integration Interface</w:t>
      </w:r>
    </w:p>
    <w:p>
      <w:pPr>
        <w:shd w:fill="F8FAFC" w:val="clear"/>
        <w:spacing w:after="40" w:line="2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┌───────────────────────────────────▼────────────────────────────────────┐</w:t>
      </w:r>
    </w:p>
    <w:p>
      <w:pPr>
        <w:shd w:fill="F8FAFC" w:val="clear"/>
        <w:spacing w:after="40" w:line="2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4. EXTERNAL ENTERPRISE PLATFORMS                                       │</w:t>
      </w:r>
    </w:p>
    <w:p>
      <w:pPr>
        <w:shd w:fill="F8FAFC" w:val="clear"/>
        <w:spacing w:after="40" w:line="2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│ • Legacy Wiki Platform (Exp: ~39 Wks) • Target Knowledge Platform     │</w:t>
      </w:r>
    </w:p>
    <w:p>
      <w:pPr>
        <w:shd w:fill="F8FAFC" w:val="clear"/>
        <w:spacing w:after="40" w:line="24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color="CBD5E1" w:sz="8"/>
        </w:pBdr>
        <w:spacing w:after="160" w:before="120"/>
      </w:pPr>
    </w:p>
    <w:p>
      <w:pPr>
        <w:pStyle w:val="Heading2"/>
        <w:spacing w:after="100" w:before="200"/>
      </w:pPr>
      <w:r>
        <w:t xml:space="preserve">9. UI Design &amp; Prototype Specification (6 Screens)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The user interface is designed as an accessible, clean academic prototype using HTML5, CSS3, and minimal JavaScript: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Screen 1 — Executive Dashboard (`dashboard.html`):</w:t>
      </w:r>
      <w:r>
        <w:rPr>
          <w:b w:val="false"/>
          <w:bCs w:val="false"/>
          <w:color w:val="334155"/>
        </w:rPr>
        <w:t xml:space="preserve"> Metrics for 14,000 total, 5,600 reviewed, 7,000 target kept, 7,000 outdated, progress bars, licence timer, and top risk card.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Screen 2 — Page Triage Queue (`triage.html`):</w:t>
      </w:r>
      <w:r>
        <w:rPr>
          <w:b w:val="false"/>
          <w:bCs w:val="false"/>
          <w:color w:val="334155"/>
        </w:rPr>
        <w:t xml:space="preserve"> Data table showing Page ID, title, team, last updated date, suggested action, and simulated Keep, Archive, and Delete buttons.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Screen 3 — Detailed Page Review (`review.html`):</w:t>
      </w:r>
      <w:r>
        <w:rPr>
          <w:b w:val="false"/>
          <w:bCs w:val="false"/>
          <w:color w:val="334155"/>
        </w:rPr>
        <w:t xml:space="preserve"> Split-view content preview, revision history, reviewer notes, and mandatory named owner dropdown.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Screen 4 — Migration Dashboard (`migration.html`):</w:t>
      </w:r>
      <w:r>
        <w:rPr>
          <w:b w:val="false"/>
          <w:bCs w:val="false"/>
          <w:color w:val="334155"/>
        </w:rPr>
        <w:t xml:space="preserve"> 7,000 kept pages progress bar (2,100 completed, 420 validation pending, 4,460 queued), batch breakdown table.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Screen 5 — Content Ownership Management (`ownership.html`):</w:t>
      </w:r>
      <w:r>
        <w:rPr>
          <w:b w:val="false"/>
          <w:bCs w:val="false"/>
          <w:color w:val="334155"/>
        </w:rPr>
        <w:t xml:space="preserve"> Registry of active content custodians, next review dates, and orphan escalation alerts.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Screen 6 — Risks &amp; Project Status (`risks.html`):</w:t>
      </w:r>
      <w:r>
        <w:rPr>
          <w:b w:val="false"/>
          <w:bCs w:val="false"/>
          <w:color w:val="334155"/>
        </w:rPr>
        <w:t xml:space="preserve"> Quantitative risk table (R1-R4), exposure ranking, and mathematical schedule gap analysis table.</w:t>
      </w:r>
    </w:p>
    <w:p>
      <w:pPr>
        <w:pBdr>
          <w:bottom w:val="single" w:color="CBD5E1" w:sz="8"/>
        </w:pBdr>
        <w:spacing w:after="160" w:before="120"/>
      </w:pPr>
    </w:p>
    <w:p>
      <w:pPr>
        <w:pStyle w:val="Heading2"/>
        <w:spacing w:after="100" w:before="200"/>
      </w:pPr>
      <w:r>
        <w:t xml:space="preserve">10. Project Management Plan &amp; WBS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The project is decomposed into 9 distinct phases spanning 42 weeks: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 w:val="false"/>
          <w:bCs w:val="false"/>
          <w:color w:val="334155"/>
        </w:rPr>
        <w:t xml:space="preserve">Phase 1: Initiation (Weeks 1–2)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 w:val="false"/>
          <w:bCs w:val="false"/>
          <w:color w:val="334155"/>
        </w:rPr>
        <w:t xml:space="preserve">Phase 2: Requirements &amp; Architecture (Weeks 3–4)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 w:val="false"/>
          <w:bCs w:val="false"/>
          <w:color w:val="334155"/>
        </w:rPr>
        <w:t xml:space="preserve">Phase 3: Wiki Inventory (Weeks 5–6)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 w:val="false"/>
          <w:bCs w:val="false"/>
          <w:color w:val="334155"/>
        </w:rPr>
        <w:t xml:space="preserve">Phase 4: Content Triage (Weeks 7–22)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 w:val="false"/>
          <w:bCs w:val="false"/>
          <w:color w:val="334155"/>
        </w:rPr>
        <w:t xml:space="preserve">Phase 5: Migration Preparation (Weeks 20–22)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 w:val="false"/>
          <w:bCs w:val="false"/>
          <w:color w:val="334155"/>
        </w:rPr>
        <w:t xml:space="preserve">Phase 6: Content Migration (Weeks 23–36)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 w:val="false"/>
          <w:bCs w:val="false"/>
          <w:color w:val="334155"/>
        </w:rPr>
        <w:t xml:space="preserve">Phase 7: Testing &amp; QA Validation (Weeks 34–38)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 w:val="false"/>
          <w:bCs w:val="false"/>
          <w:color w:val="334155"/>
        </w:rPr>
        <w:t xml:space="preserve">Phase 8: Ownership &amp; Governance (Weeks 37–40)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 w:val="false"/>
          <w:bCs w:val="false"/>
          <w:color w:val="334155"/>
        </w:rPr>
        <w:t xml:space="preserve">Phase 9: Closure &amp; Handover (Weeks 41–42)</w:t>
      </w:r>
    </w:p>
    <w:p>
      <w:pPr>
        <w:pBdr>
          <w:bottom w:val="single" w:color="CBD5E1" w:sz="8"/>
        </w:pBdr>
        <w:spacing w:after="160" w:before="120"/>
      </w:pPr>
    </w:p>
    <w:p>
      <w:pPr>
        <w:pStyle w:val="Heading2"/>
        <w:spacing w:after="100" w:before="200"/>
      </w:pPr>
      <w:r>
        <w:t xml:space="preserve">11. Mathematical Estimation &amp; Schedule Analysis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Every project parameter is derived from empirical case-study formulas: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$$\text{Total Pages } (N) = 14,000$$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$$\text{Outdated Ratio} = 50\% \implies \text{Kept Pages } (N_{kept}) = 14,000 \times 50\% = \mathbf{7,000\text{ pages}}$$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$$\text{Triage Effort } (E_{triage}) = \frac{14,000}{40\text{ p/d}} = \mathbf{350\text{ person-days}}$$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$$\text{Migration Effort } (E_{migration}) = \frac{7,000}{25\text{ p/d}} = \mathbf{280\text{ person-days}}$$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$$\text{Total Effort } (E_{total}) = 350 + 280 = \mathbf{630\text{ person-days}}$$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$$\text{Weekly Capacity } (C) = 3\text{ (TW)} + 12\text{ (12 Teams } \times 1\text{)} = \mathbf{15\text{ person-days / week}}$$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$$\text{Estimated Duration } (D) = \frac{630}{15} = \mathbf{42.0\text{ weeks}}$$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$$\text{Licence Expiry Period } (T_{licence}) = 9\text{ months} \times 4.333\text{ wks/mo} = \mathbf{39.0\text{ weeks}}$$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$$\text{Schedule Gap } (\Delta T) = 42.0 - 39.0 = \mathbf{+3.0\text{ weeks (Schedule Overrun Deficit)}}$$</w:t>
      </w:r>
    </w:p>
    <w:p>
      <w:pPr>
        <w:pBdr>
          <w:bottom w:val="single" w:color="CBD5E1" w:sz="8"/>
        </w:pBdr>
        <w:spacing w:after="160" w:before="120"/>
      </w:pPr>
    </w:p>
    <w:p>
      <w:pPr>
        <w:pStyle w:val="Heading2"/>
        <w:spacing w:after="100" w:before="200"/>
      </w:pPr>
      <w:r>
        <w:t xml:space="preserve">12. Gantt Chart &amp; Milestone Schedule (42 vs. 39 Weeks)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The Gantt schedule explicitly marks the conflict at Week 39, where the legacy licence expires while baseline activities extend through Week 42.</w:t>
      </w:r>
    </w:p>
    <w:p>
      <w:pPr>
        <w:pBdr>
          <w:bottom w:val="single" w:color="CBD5E1" w:sz="8"/>
        </w:pBdr>
        <w:spacing w:after="160" w:before="120"/>
      </w:pPr>
    </w:p>
    <w:p>
      <w:pPr>
        <w:pStyle w:val="Heading2"/>
        <w:spacing w:after="100" w:before="200"/>
      </w:pPr>
      <w:r>
        <w:t xml:space="preserve">13. Critical Path Method (CPM) Analysis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$$\text{Critical Path: Requirements } \rightarrow \text{ Inventory } \rightarrow \text{ Triage (16 wks) } \rightarrow \text{ Migration (14 wks) } \rightarrow \text{ Testing } \rightarrow \text{ Closure}$$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Total Critical Path length = </w:t>
      </w:r>
      <w:r>
        <w:rPr>
          <w:b/>
          <w:bCs/>
          <w:color w:val="1E293B"/>
        </w:rPr>
        <w:t xml:space="preserve">42.0 weeks</w:t>
      </w:r>
      <w:r>
        <w:rPr>
          <w:b w:val="false"/>
          <w:bCs w:val="false"/>
          <w:color w:val="334155"/>
        </w:rPr>
        <w:t xml:space="preserve"> (Zero Float). To mitigate the 3-week overrun, three management contingencies are established: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1.  </w:t>
      </w:r>
      <w:r>
        <w:rPr>
          <w:b w:val="false"/>
          <w:bCs w:val="false"/>
          <w:color w:val="334155"/>
        </w:rPr>
        <w:t xml:space="preserve">Commercial 30-day bridging licence extension through Week 43.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2.  </w:t>
      </w:r>
      <w:r>
        <w:rPr>
          <w:b w:val="false"/>
          <w:bCs w:val="false"/>
          <w:color w:val="334155"/>
        </w:rPr>
        <w:t xml:space="preserve">Capacity compression increasing TW allocation from 3 to 5 p-d/week.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3.  </w:t>
      </w:r>
      <w:r>
        <w:rPr>
          <w:b w:val="false"/>
          <w:bCs w:val="false"/>
          <w:color w:val="334155"/>
        </w:rPr>
        <w:t xml:space="preserve">Phased cutover prioritizing top 5,000 core pages before Week 39.</w:t>
      </w:r>
    </w:p>
    <w:p>
      <w:pPr>
        <w:pBdr>
          <w:bottom w:val="single" w:color="CBD5E1" w:sz="8"/>
        </w:pBdr>
        <w:spacing w:after="160" w:before="120"/>
      </w:pPr>
    </w:p>
    <w:p>
      <w:pPr>
        <w:pStyle w:val="Heading2"/>
        <w:spacing w:after="100" w:before="200"/>
      </w:pPr>
      <w:r>
        <w:t xml:space="preserve">14. Testing &amp; Quality Assurance Documentation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Functional Test Cases:</w:t>
      </w:r>
      <w:r>
        <w:rPr>
          <w:b w:val="false"/>
          <w:bCs w:val="false"/>
          <w:color w:val="334155"/>
        </w:rPr>
        <w:t xml:space="preserve"> 15 comprehensive test cases (</w:t>
      </w:r>
      <w:r>
        <w:rPr>
          <w:rFonts w:ascii="Consolas" w:cs="Consolas" w:eastAsia="Consolas" w:hAnsi="Consolas"/>
          <w:color w:val="0969DA"/>
          <w:shd w:fill="F1F5F9" w:val="clear"/>
        </w:rPr>
        <w:t xml:space="preserve">TC-01</w:t>
      </w:r>
      <w:r>
        <w:rPr>
          <w:b w:val="false"/>
          <w:bCs w:val="false"/>
          <w:color w:val="334155"/>
        </w:rPr>
        <w:t xml:space="preserve"> to </w:t>
      </w:r>
      <w:r>
        <w:rPr>
          <w:rFonts w:ascii="Consolas" w:cs="Consolas" w:eastAsia="Consolas" w:hAnsi="Consolas"/>
          <w:color w:val="0969DA"/>
          <w:shd w:fill="F1F5F9" w:val="clear"/>
        </w:rPr>
        <w:t xml:space="preserve">TC-15</w:t>
      </w:r>
      <w:r>
        <w:rPr>
          <w:b w:val="false"/>
          <w:bCs w:val="false"/>
          <w:color w:val="334155"/>
        </w:rPr>
        <w:t xml:space="preserve">) documented with </w:t>
      </w:r>
      <w:r>
        <w:rPr>
          <w:rFonts w:ascii="Consolas" w:cs="Consolas" w:eastAsia="Consolas" w:hAnsi="Consolas"/>
          <w:color w:val="0969DA"/>
          <w:shd w:fill="F1F5F9" w:val="clear"/>
        </w:rPr>
        <w:t xml:space="preserve">Status = Planned</w:t>
      </w:r>
      <w:r>
        <w:rPr>
          <w:b w:val="false"/>
          <w:bCs w:val="false"/>
          <w:color w:val="334155"/>
        </w:rPr>
        <w:t xml:space="preserve"> and </w:t>
      </w:r>
      <w:r>
        <w:rPr>
          <w:rFonts w:ascii="Consolas" w:cs="Consolas" w:eastAsia="Consolas" w:hAnsi="Consolas"/>
          <w:color w:val="0969DA"/>
          <w:shd w:fill="F1F5F9" w:val="clear"/>
        </w:rPr>
        <w:t xml:space="preserve">Actual Result = To be executed during implementation</w:t>
      </w:r>
      <w:r>
        <w:rPr>
          <w:b w:val="false"/>
          <w:bCs w:val="false"/>
          <w:color w:val="334155"/>
        </w:rPr>
        <w:t xml:space="preserve">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Boundary Value Analysis (BVA):</w:t>
      </w:r>
      <w:r>
        <w:rPr>
          <w:b w:val="false"/>
          <w:bCs w:val="false"/>
          <w:color w:val="334155"/>
        </w:rPr>
        <w:t xml:space="preserve"> Evaluates boundaries for inventory (0, 1, 14000, 14001), triage rate (40 p/d), batch size (500 pg), and search latency (&lt; 1.0s).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Decision Tables:</w:t>
      </w:r>
      <w:r>
        <w:rPr>
          <w:b w:val="false"/>
          <w:bCs w:val="false"/>
          <w:color w:val="334155"/>
        </w:rPr>
        <w:t xml:space="preserve"> Complete triage decision rules and migration QA certification rules.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Defect Removal Efficiency (DRE):</w:t>
      </w:r>
      <w:r>
        <w:rPr>
          <w:b w:val="false"/>
          <w:bCs w:val="false"/>
          <w:color w:val="334155"/>
        </w:rPr>
        <w:t xml:space="preserve"> $\text{DRE} = \frac{E}{E + D} \times 100$ (Target benchmark: $\ge 95.0\%$).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Defect Density:</w:t>
      </w:r>
      <w:r>
        <w:rPr>
          <w:b w:val="false"/>
          <w:bCs w:val="false"/>
          <w:color w:val="334155"/>
        </w:rPr>
        <w:t xml:space="preserve"> Normalized metric per 1,000 tested pages (Target ceiling: $\le 8.0\text{ defects / KPages}$).</w:t>
      </w:r>
    </w:p>
    <w:p>
      <w:pPr>
        <w:pBdr>
          <w:bottom w:val="single" w:color="CBD5E1" w:sz="8"/>
        </w:pBdr>
        <w:spacing w:after="160" w:before="120"/>
      </w:pPr>
    </w:p>
    <w:p>
      <w:pPr>
        <w:pStyle w:val="Heading2"/>
        <w:spacing w:after="100" w:before="200"/>
      </w:pPr>
      <w:r>
        <w:t xml:space="preserve">15. Quantitative Risk Management &amp; RMMM Plans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Risk Exposure formula $E = P \times I$ applied to all 4 case study risks: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1.  </w:t>
      </w:r>
      <w:r>
        <w:rPr>
          <w:b/>
          <w:bCs/>
          <w:color w:val="1E293B"/>
        </w:rPr>
        <w:t xml:space="preserve">Risk 2 (Teams do not review pages):</w:t>
      </w:r>
      <w:r>
        <w:rPr>
          <w:b w:val="false"/>
          <w:bCs w:val="false"/>
          <w:color w:val="334155"/>
        </w:rPr>
        <w:t xml:space="preserve"> $P=0.6, I=7 \implies \mathbf{E=4.2}$ (</w:t>
      </w:r>
      <w:r>
        <w:rPr>
          <w:b/>
          <w:bCs/>
          <w:color w:val="1E293B"/>
        </w:rPr>
        <w:t xml:space="preserve">Rank 1 — Highest Risk</w:t>
      </w:r>
      <w:r>
        <w:rPr>
          <w:b w:val="false"/>
          <w:bCs w:val="false"/>
          <w:color w:val="334155"/>
        </w:rPr>
        <w:t xml:space="preserve">). Mitigated via CTO executive mandate, 1 p-d/wk sprint tracking, and TW pre-filtering.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2.  </w:t>
      </w:r>
      <w:r>
        <w:rPr>
          <w:b/>
          <w:bCs/>
          <w:color w:val="1E293B"/>
        </w:rPr>
        <w:t xml:space="preserve">Risk 1 (Licence expires before completion):</w:t>
      </w:r>
      <w:r>
        <w:rPr>
          <w:b w:val="false"/>
          <w:bCs w:val="false"/>
          <w:color w:val="334155"/>
        </w:rPr>
        <w:t xml:space="preserve"> $P=0.4, I=9 \implies \mathbf{E=3.6}$ (</w:t>
      </w:r>
      <w:r>
        <w:rPr>
          <w:b/>
          <w:bCs/>
          <w:color w:val="1E293B"/>
        </w:rPr>
        <w:t xml:space="preserve">Rank 2 — High Risk</w:t>
      </w:r>
      <w:r>
        <w:rPr>
          <w:b w:val="false"/>
          <w:bCs w:val="false"/>
          <w:color w:val="334155"/>
        </w:rPr>
        <w:t xml:space="preserve">). Mitigated via 30-day bridging licence, critical path tracking, and core page staging.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3.  </w:t>
      </w:r>
      <w:r>
        <w:rPr>
          <w:b/>
          <w:bCs/>
          <w:color w:val="1E293B"/>
        </w:rPr>
        <w:t xml:space="preserve">Risk 3 (Broken links after migration):</w:t>
      </w:r>
      <w:r>
        <w:rPr>
          <w:b w:val="false"/>
          <w:bCs w:val="false"/>
          <w:color w:val="334155"/>
        </w:rPr>
        <w:t xml:space="preserve"> $P=0.4, I=4 \implies \mathbf{E=1.6}$ (</w:t>
      </w:r>
      <w:r>
        <w:rPr>
          <w:b/>
          <w:bCs/>
          <w:color w:val="1E293B"/>
        </w:rPr>
        <w:t xml:space="preserve">Rank 3 — Moderate Risk</w:t>
      </w:r>
      <w:r>
        <w:rPr>
          <w:b w:val="false"/>
          <w:bCs w:val="false"/>
          <w:color w:val="334155"/>
        </w:rPr>
        <w:t xml:space="preserve">). Mitigated via automated regex URL rewrite tables and crawler verification.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4.  </w:t>
      </w:r>
      <w:r>
        <w:rPr>
          <w:b/>
          <w:bCs/>
          <w:color w:val="1E293B"/>
        </w:rPr>
        <w:t xml:space="preserve">Risk 4 (No owner after migration):</w:t>
      </w:r>
      <w:r>
        <w:rPr>
          <w:b w:val="false"/>
          <w:bCs w:val="false"/>
          <w:color w:val="334155"/>
        </w:rPr>
        <w:t xml:space="preserve"> $P=0.5, I=1 \implies \mathbf{E=0.5}$ (</w:t>
      </w:r>
      <w:r>
        <w:rPr>
          <w:b/>
          <w:bCs/>
          <w:color w:val="1E293B"/>
        </w:rPr>
        <w:t xml:space="preserve">Rank 4 — Low Risk</w:t>
      </w:r>
      <w:r>
        <w:rPr>
          <w:b w:val="false"/>
          <w:bCs w:val="false"/>
          <w:color w:val="334155"/>
        </w:rPr>
        <w:t xml:space="preserve">). Mitigated via system-enforced Zero Orphan Policy and 90-day review cycles.</w:t>
      </w:r>
    </w:p>
    <w:p>
      <w:pPr>
        <w:pBdr>
          <w:bottom w:val="single" w:color="CBD5E1" w:sz="8"/>
        </w:pBdr>
        <w:spacing w:after="160" w:before="120"/>
      </w:pPr>
    </w:p>
    <w:p>
      <w:pPr>
        <w:pStyle w:val="Heading2"/>
        <w:spacing w:after="100" w:before="200"/>
      </w:pPr>
      <w:r>
        <w:t xml:space="preserve">16. Post-Migration Governance Framework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To permanently eliminate knowledge entropy, WikiMove establishes a 5-pillar governance model: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1.  </w:t>
      </w:r>
      <w:r>
        <w:rPr>
          <w:b/>
          <w:bCs/>
          <w:color w:val="1E293B"/>
        </w:rPr>
        <w:t xml:space="preserve">Mandatory Named Custodian:</w:t>
      </w:r>
      <w:r>
        <w:rPr>
          <w:b w:val="false"/>
          <w:bCs w:val="false"/>
          <w:color w:val="334155"/>
        </w:rPr>
        <w:t xml:space="preserve"> 100% of pages mapped to active employees.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2.  </w:t>
      </w:r>
      <w:r>
        <w:rPr>
          <w:b/>
          <w:bCs/>
          <w:color w:val="1E293B"/>
        </w:rPr>
        <w:t xml:space="preserve">Automated 90-Day Periodic Review:</w:t>
      </w:r>
      <w:r>
        <w:rPr>
          <w:b w:val="false"/>
          <w:bCs w:val="false"/>
          <w:color w:val="334155"/>
        </w:rPr>
        <w:t xml:space="preserve"> Automated prompts requiring owner recertification.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3.  </w:t>
      </w:r>
      <w:r>
        <w:rPr>
          <w:b/>
          <w:bCs/>
          <w:color w:val="1E293B"/>
        </w:rPr>
        <w:t xml:space="preserve">14-Day Escalation SLA:</w:t>
      </w:r>
      <w:r>
        <w:rPr>
          <w:b w:val="false"/>
          <w:bCs w:val="false"/>
          <w:color w:val="334155"/>
        </w:rPr>
        <w:t xml:space="preserve"> Unrevalidated pages escalate to domain Engineering Leads.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4.  </w:t>
      </w:r>
      <w:r>
        <w:rPr>
          <w:b/>
          <w:bCs/>
          <w:color w:val="1E293B"/>
        </w:rPr>
        <w:t xml:space="preserve">Semi-Annual Archive Sweep:</w:t>
      </w:r>
      <w:r>
        <w:rPr>
          <w:b w:val="false"/>
          <w:bCs w:val="false"/>
          <w:color w:val="334155"/>
        </w:rPr>
        <w:t xml:space="preserve"> Inactive pages retired to cold storage.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5.  </w:t>
      </w:r>
      <w:r>
        <w:rPr>
          <w:b/>
          <w:bCs/>
          <w:color w:val="1E293B"/>
        </w:rPr>
        <w:t xml:space="preserve">Quarterly Broken Link Audits:</w:t>
      </w:r>
      <w:r>
        <w:rPr>
          <w:b w:val="false"/>
          <w:bCs w:val="false"/>
          <w:color w:val="334155"/>
        </w:rPr>
        <w:t xml:space="preserve"> Scheduled background crawlers verify all intra-wiki and external links.</w:t>
      </w:r>
    </w:p>
    <w:p>
      <w:pPr>
        <w:pBdr>
          <w:bottom w:val="single" w:color="CBD5E1" w:sz="8"/>
        </w:pBdr>
        <w:spacing w:after="160" w:before="120"/>
      </w:pPr>
    </w:p>
    <w:p>
      <w:pPr>
        <w:pStyle w:val="Heading2"/>
        <w:spacing w:after="100" w:before="200"/>
      </w:pPr>
      <w:r>
        <w:t xml:space="preserve">17. Project Closure &amp; Handover State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Planned Closure State:</w:t>
      </w:r>
      <w:r>
        <w:rPr>
          <w:b w:val="false"/>
          <w:bCs w:val="false"/>
          <w:color w:val="334155"/>
        </w:rPr>
        <w:t xml:space="preserve"> All 14,000 legacy pages triaged; 7,000 kept pages migrated and verified; legacy wiki platform decommissioned; target platform live under active governance.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/>
          <w:bCs/>
          <w:color w:val="1E293B"/>
        </w:rPr>
        <w:t xml:space="preserve">Handover Package:</w:t>
      </w:r>
      <w:r>
        <w:rPr>
          <w:b w:val="false"/>
          <w:bCs w:val="false"/>
          <w:color w:val="334155"/>
        </w:rPr>
        <w:t xml:space="preserve"> Wiki inventory registry, URL rewrite map, ownership directory, and QA crawler scripts transferred to the permanent technical writing team.</w:t>
      </w:r>
    </w:p>
    <w:p>
      <w:pPr>
        <w:pBdr>
          <w:bottom w:val="single" w:color="CBD5E1" w:sz="8"/>
        </w:pBdr>
        <w:spacing w:after="160" w:before="120"/>
      </w:pPr>
    </w:p>
    <w:p>
      <w:pPr>
        <w:pStyle w:val="Heading2"/>
        <w:spacing w:after="100" w:before="200"/>
      </w:pPr>
      <w:r>
        <w:t xml:space="preserve">18. Lessons Learned &amp; Academic Post-Mortem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1.  </w:t>
      </w:r>
      <w:r>
        <w:rPr>
          <w:b/>
          <w:bCs/>
          <w:color w:val="1E293B"/>
        </w:rPr>
        <w:t xml:space="preserve">Documentation Requires Formal Ownership:</w:t>
      </w:r>
      <w:r>
        <w:rPr>
          <w:b w:val="false"/>
          <w:bCs w:val="false"/>
          <w:color w:val="334155"/>
        </w:rPr>
        <w:t xml:space="preserve"> Without named custody, technical knowledge bases inevitably decay into unmaintainable repositories.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2.  </w:t>
      </w:r>
      <w:r>
        <w:rPr>
          <w:b/>
          <w:bCs/>
          <w:color w:val="1E293B"/>
        </w:rPr>
        <w:t xml:space="preserve">Mathematical Estimation Exposes Latent Conflicts:</w:t>
      </w:r>
      <w:r>
        <w:rPr>
          <w:b w:val="false"/>
          <w:bCs w:val="false"/>
          <w:color w:val="334155"/>
        </w:rPr>
        <w:t xml:space="preserve"> Calculating effort against fixed capacity early revealed the 3-week schedule deficit, allowing proactive risk mitigation rather than reactive crisis management.</w:t>
      </w:r>
    </w:p>
    <w:p>
      <w:pPr>
        <w:spacing w:after="80" w:line="260"/>
        <w:ind w:left="400" w:hanging="280"/>
      </w:pPr>
      <w:r>
        <w:rPr>
          <w:b/>
          <w:bCs/>
          <w:color w:val="2563EB"/>
        </w:rPr>
        <w:t xml:space="preserve">3.  </w:t>
      </w:r>
      <w:r>
        <w:rPr>
          <w:b/>
          <w:bCs/>
          <w:color w:val="1E293B"/>
        </w:rPr>
        <w:t xml:space="preserve">Cross-Team Governance Requires Executive Backing:</w:t>
      </w:r>
      <w:r>
        <w:rPr>
          <w:b w:val="false"/>
          <w:bCs w:val="false"/>
          <w:color w:val="334155"/>
        </w:rPr>
        <w:t xml:space="preserve"> Relying on voluntary engineering team review fails; institutionalizing review quotas in sprint capacity is critical.</w:t>
      </w:r>
    </w:p>
    <w:p>
      <w:pPr>
        <w:pBdr>
          <w:bottom w:val="single" w:color="CBD5E1" w:sz="8"/>
        </w:pBdr>
        <w:spacing w:after="160" w:before="120"/>
      </w:pPr>
    </w:p>
    <w:p>
      <w:pPr>
        <w:pStyle w:val="Heading2"/>
        <w:spacing w:after="100" w:before="200"/>
      </w:pPr>
      <w:r>
        <w:t xml:space="preserve">19. Conclusion</w:t>
      </w:r>
    </w:p>
    <w:p>
      <w:pPr>
        <w:spacing w:after="120" w:line="260"/>
      </w:pPr>
      <w:r>
        <w:rPr>
          <w:b w:val="false"/>
          <w:bCs w:val="false"/>
          <w:color w:val="334155"/>
        </w:rPr>
        <w:t xml:space="preserve">Project WikiMove provides an academically rigorous, mathematically consistent, and professional software engineering and project management portfolio. By addressing legacy content decay through structured triage, quality-gated migration, quantitative risk management, and long-term governance, the proposed system ensures that the organization successfully offboards its legacy platform and establishes a sustainable enterprise knowledge repository.</w:t>
      </w:r>
    </w:p>
    <w:p>
      <w:pPr>
        <w:pBdr>
          <w:bottom w:val="single" w:color="CBD5E1" w:sz="8"/>
        </w:pBdr>
        <w:spacing w:after="160" w:before="120"/>
      </w:pPr>
    </w:p>
    <w:p>
      <w:pPr>
        <w:pStyle w:val="Heading2"/>
        <w:spacing w:after="100" w:before="200"/>
      </w:pPr>
      <w:r>
        <w:t xml:space="preserve">20. References &amp; Appendices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 w:val="false"/>
          <w:bCs w:val="false"/>
          <w:color w:val="334155"/>
        </w:rPr>
        <w:t xml:space="preserve">IEEE Std 830-1998: IEEE Recommended Practice for Software Requirements Specifications.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 w:val="false"/>
          <w:bCs w:val="false"/>
          <w:color w:val="334155"/>
        </w:rPr>
        <w:t xml:space="preserve">Pressman, R. S., &amp; Maxim, B. R.: Software Engineering: A Practitioner's Approach.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 w:val="false"/>
          <w:bCs w:val="false"/>
          <w:color w:val="334155"/>
        </w:rPr>
        <w:t xml:space="preserve">Project Management Institute (PMI): A Guide to the Project Management Body of Knowledge (PMBOK Guide).</w:t>
      </w:r>
    </w:p>
    <w:p>
      <w:pPr>
        <w:spacing w:after="80" w:line="260"/>
        <w:ind w:left="360" w:hanging="240"/>
      </w:pPr>
      <w:r>
        <w:rPr>
          <w:b/>
          <w:bCs/>
          <w:color w:val="2563EB"/>
        </w:rPr>
        <w:t xml:space="preserve">•  </w:t>
      </w:r>
      <w:r>
        <w:rPr>
          <w:b w:val="false"/>
          <w:bCs w:val="false"/>
          <w:color w:val="334155"/>
        </w:rPr>
        <w:t xml:space="preserve">Project Deliverables Directory: </w:t>
      </w:r>
      <w:r>
        <w:rPr>
          <w:rFonts w:ascii="Consolas" w:cs="Consolas" w:eastAsia="Consolas" w:hAnsi="Consolas"/>
          <w:color w:val="0969DA"/>
          <w:shd w:fill="F1F5F9" w:val="clear"/>
        </w:rPr>
        <w:t xml:space="preserve">Documentation/</w:t>
      </w:r>
      <w:r>
        <w:rPr>
          <w:b w:val="false"/>
          <w:bCs w:val="false"/>
          <w:color w:val="334155"/>
        </w:rPr>
        <w:t xml:space="preserve">, </w:t>
      </w:r>
      <w:r>
        <w:rPr>
          <w:rFonts w:ascii="Consolas" w:cs="Consolas" w:eastAsia="Consolas" w:hAnsi="Consolas"/>
          <w:color w:val="0969DA"/>
          <w:shd w:fill="F1F5F9" w:val="clear"/>
        </w:rPr>
        <w:t xml:space="preserve">Diagrams/</w:t>
      </w:r>
      <w:r>
        <w:rPr>
          <w:b w:val="false"/>
          <w:bCs w:val="false"/>
          <w:color w:val="334155"/>
        </w:rPr>
        <w:t xml:space="preserve">, </w:t>
      </w:r>
      <w:r>
        <w:rPr>
          <w:rFonts w:ascii="Consolas" w:cs="Consolas" w:eastAsia="Consolas" w:hAnsi="Consolas"/>
          <w:color w:val="0969DA"/>
          <w:shd w:fill="F1F5F9" w:val="clear"/>
        </w:rPr>
        <w:t xml:space="preserve">UI/</w:t>
      </w:r>
      <w:r>
        <w:rPr>
          <w:b w:val="false"/>
          <w:bCs w:val="false"/>
          <w:color w:val="334155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>
      <w:pPr>
        <w:spacing w:after="140"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2026-10-02T17:44:42.974Z</dcterms:created>
  <dcterms:modified xsi:type="dcterms:W3CDTF">2026-10-02T17:44:42.974Z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