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rFonts w:ascii="Arial" w:cs="Arial" w:eastAsia="Arial" w:hAnsi="Arial"/>
          <w:b/>
          <w:bCs/>
          <w:color w:val="2E5A88"/>
          <w:sz w:val="40"/>
          <w:szCs w:val="40"/>
        </w:rPr>
        <w:t xml:space="preserve">Claims V2 — Document Collection Matrix</w:t>
      </w:r>
    </w:p>
    <w:p>
      <w:pPr>
        <w:spacing w:after="200"/>
        <w:jc w:val="left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Survey-type driven configuration for DSP-side claim investigation &amp; settlement recommendation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</w:rPr>
        <w:t xml:space="preserve">1. Overview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document defines the document-collection matrix for the Claims V2 product. The primary user is the Distribution Service Partner (DSP) who investigates and recommends settlement across multiple insurers. The DSP does not disburse payments; it submits the investigation report, evidence pack, recommendation, and computed payables to the insurer, and earns a per-claim commission.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matrix is organised by Survey Type (top-level category). Within each survey type, two sub-parameters control the mandatory / optional label for each document: the subtype of the survey and the vehicle class. Additional sub-threshold conditions (e.g., hypothecation, KYC threshold, settlement mode) are handled as inline rules in code — they are not insurer-facing config levers.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</w:rPr>
        <w:t xml:space="preserve">2. Parameters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7460"/>
      </w:tblGrid>
      <w:tr>
        <w:trPr>
          <w:tblHeader/>
        </w:trP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A8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A8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4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A8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Survey Type</w:t>
            </w:r>
          </w:p>
        </w:tc>
        <w:tc>
          <w:tcPr>
            <w:tcW w:type="dxa" w:w="2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Main category</w:t>
            </w:r>
          </w:p>
        </w:tc>
        <w:tc>
          <w:tcPr>
            <w:tcW w:type="dxa" w:w="74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Accident · Theft · Total Loss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Subtype of survey</w:t>
            </w:r>
          </w:p>
        </w:tc>
        <w:tc>
          <w:tcPr>
            <w:tcW w:type="dxa" w:w="2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Sub-parameter</w:t>
            </w:r>
          </w:p>
        </w:tc>
        <w:tc>
          <w:tcPr>
            <w:tcW w:type="dxa" w:w="74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Accident → Own Damage / Third-Party / Natural Peril / Act of God. Theft → Full / Accessory / Recovered. Total Loss → none.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Vehicle Class</w:t>
            </w:r>
          </w:p>
        </w:tc>
        <w:tc>
          <w:tcPr>
            <w:tcW w:type="dxa" w:w="2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Sub-parameter</w:t>
            </w:r>
          </w:p>
        </w:tc>
        <w:tc>
          <w:tcPr>
            <w:tcW w:type="dxa" w:w="74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Private · Commercial-goods · Commercial-taxi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</w:rPr>
        <w:t xml:space="preserve">3. Legend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 = Mandatory — always required in this cell.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= Optional — not a blocker; may be promoted to M by an inline rule (see Section 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 = Not Applicable — never requested in this cell.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vc = Vehicle-class-driven — resolved via the Vehicle Class rule (Section 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Footnote markers on labels (*, †, ‡, #) indicate an inline-rule condition that can promote Optional to Mandatory at runtime (see Section 5).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</w:rPr>
        <w:t xml:space="preserve">4. Vehicle Class rule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following documents are vehicle-class-driven. They are marked “vc” in the survey-type tables and resolve per the table below across all survey types and subtypes.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3000"/>
        <w:gridCol w:w="3000"/>
        <w:gridCol w:w="3000"/>
      </w:tblGrid>
      <w:tr>
        <w:trPr>
          <w:tblHeader/>
        </w:trPr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A8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A8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Private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A8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Commercial – Goods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A8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Commercial – Taxi</w:t>
            </w:r>
          </w:p>
        </w:tc>
      </w:tr>
      <w:tr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D10 – Fitness Certificate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D11 – Permit challan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 (Goods permit)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 (Taxi / Contract-carriage permit)</w:t>
            </w:r>
          </w:p>
        </w:tc>
      </w:tr>
      <w:tr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D12 – Trip Sheet / Waybill / Load Challan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 (Waybill / Load Challan)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 (Trip Sheet)</w:t>
            </w:r>
          </w:p>
        </w:tc>
      </w:tr>
      <w:tr>
        <w:tc>
          <w:tcPr>
            <w:tcW w:type="dxa" w:w="39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D09 – Road Tax / Tax Token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 (per subtype default)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</w:tr>
    </w:tbl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All other documents are vehicle-class-agnostic.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</w:rPr>
        <w:t xml:space="preserve">5. Inline-rule footnote keys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These rules are evaluated at runtime from claim data. They can flip an Optional label to Mandatory. They are not insurer-facing config parameters, but each promotion must emit a reason code into the audit log.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* — Claim payable ≥ insurer's KYC threshold → D04 (Aadhaar), D05 (PAN) promote to 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† — Settlement mode = Reimbursement → D17 (Cancelled Cheque / Bank Statement) promotes to 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‡ — RC shows hypothecation → D16 (Form 35), D18 (Financier NOC), D19 (Loan Outstanding Statement) promote to 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# — Pure Third-Party claim with no damage to insured's own vehicle → D22 (Damage Estimate), D23 (Invoice) become NA.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</w:rPr>
        <w:t xml:space="preserve">6. Master document reference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Descriptions, categories and probable sources for all 24 documents. Referenced by document code (D01–D24) in the survey-type tables.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1300"/>
        <w:gridCol w:w="5360"/>
        <w:gridCol w:w="3000"/>
      </w:tblGrid>
      <w:tr>
        <w:trPr>
          <w:tblHeader/>
        </w:trP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A8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A8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A8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A8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A8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Probable Source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D01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Claim Form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Claim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Insurer's claim intimation form filled &amp; signed by insured.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Insured (on insurer template)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D02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Claim Discharge Voucher (CDV)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Claim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Insured's final acknowledgement of claim settlement, addressed to insurer; DSP collects and forwards.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Insured (on insurer template)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D03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Insurance Policy Copy (Schedule)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Policy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Policy schedule / Certificate of Insurance showing coverage, IDV, validity.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Insurer core system / Insured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D04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Aadhaar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Identity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UIDAI-issued identity document; stored masked per DPDPA.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Insured (UIDAI-issued)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D05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PAN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Identity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Income-tax PAN for KYC and TDS purposes.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Insured (Income Tax Dept-issued)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D06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Driving License (DL)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Driver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RTO-issued licence of the driver at time of loss; validates driving authority.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Insured / Driver (RTO-issued)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D07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Vehicle Registration Certificate (RC)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Vehicle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RTO-issued ownership proof for the vehicle; establishes insurable interest.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Insured (RTO-issued)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D08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PUC Certificate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Vehicle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Emission (Pollution-Under-Control) compliance certificate valid on Date of Loss.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Insured (PUC centre-issued)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D09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Road Tax / Tax Token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Vehicle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Proof of road-tax payment for the vehicle.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Insured (State RTO-issued)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D10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Fitness Certificate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Vehicle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Roadworthiness certificate mandatory for commercial vehicles.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Insured (RTO-issued)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D11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Permit challan (Goods / Taxi / Route)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Vehicle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State transport permit authorising commercial vehicle use; type depends on vehicle class.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Insured (RTO / State Transport-issued)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D12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Trip Sheet / Waybill / Load Challan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Vehicle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Commercial-vehicle activity log at Date of Loss (load manifest for goods, trip sheet for taxi).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Operator / Insured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D13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Form 28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Vehicle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RTO No-Objection Certificate used for inter-state transfer or RC transfer to insurer (post-TL / theft).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Insured (RTO form)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D14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Form 29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Vehicle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Notice of Transfer of Ownership signed by the transferor (insured).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Insured (RTO form)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D15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Form 30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Vehicle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Application for Transfer of Ownership signed by the transferee (insurer).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Insured + Insurer (RTO form)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D16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Form 35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Vehicle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Notice of termination of hypothecation — releases the financier's lien post-settlement.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Insured + Financier (RTO form)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D17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Cancelled Cheque / Bank Statement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Finance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Bank account proof for payout crediting by the insurer.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Insured (bank-issued)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D18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Financier NOC / Consent Letter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Finance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No-objection / consent from hypothecation holder permitting claim settlement.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Financier (Bank / NBFC)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D19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Loan Outstanding Statement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Finance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Current loan principal + interest outstanding; drives payout split between financier and insured.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Financier (Bank / NBFC)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D20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FIR / Police Report / GD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Legal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Police record of the incident — FIR for major events, General Diary for minor.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Police (obtained by insured)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D21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Final Police Report (Untraced Report)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Legal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Police certificate issued after investigation stating the vehicle could not be traced.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Police (obtained by insured)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D22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Damage Estimate Report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Repair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Workshop's itemised repair quote (parts, labour, paint, consumables, GST).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Workshop / Garage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D23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Invoice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Repair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Workshop's GST-compliant final tax invoice post-repair.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Workshop / Garage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D24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Repair Bills (Towing / Crane / Parking)</w:t>
            </w:r>
          </w:p>
        </w:tc>
        <w:tc>
          <w:tcPr>
            <w:tcW w:type="dxa" w:w="1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Repair</w:t>
            </w:r>
          </w:p>
        </w:tc>
        <w:tc>
          <w:tcPr>
            <w:tcW w:type="dxa" w:w="5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Auxiliary bills for towing, crane lift, and storage / parking charges incurred.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Service providers (via insured)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</w:rPr>
        <w:t xml:space="preserve">7. Survey Type 1 — Accident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Partial-loss claims where the vehicle is damaged but repairable. Labels below are for vehicle class = Private by default; vehicle-class-driven docs are marked “vc” and resolve per Section 4.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60"/>
        <w:gridCol w:w="2100"/>
        <w:gridCol w:w="2100"/>
        <w:gridCol w:w="2100"/>
        <w:gridCol w:w="2100"/>
      </w:tblGrid>
      <w:tr>
        <w:trPr>
          <w:tblHeader/>
        </w:trP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A8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A8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A8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 Damage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A8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Third-Party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A8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Natural Peril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A8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 of God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D01</w:t>
            </w:r>
          </w:p>
        </w:tc>
        <w:tc>
          <w:tcPr>
            <w:tcW w:type="dxa" w:w="3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Claim Form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D02</w:t>
            </w:r>
          </w:p>
        </w:tc>
        <w:tc>
          <w:tcPr>
            <w:tcW w:type="dxa" w:w="3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Claim Discharge Voucher (CDV)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D03</w:t>
            </w:r>
          </w:p>
        </w:tc>
        <w:tc>
          <w:tcPr>
            <w:tcW w:type="dxa" w:w="3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Insurance Policy Copy (Schedule)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D04</w:t>
            </w:r>
          </w:p>
        </w:tc>
        <w:tc>
          <w:tcPr>
            <w:tcW w:type="dxa" w:w="3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Aadhaar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C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O*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C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O*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C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O*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C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O*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D05</w:t>
            </w:r>
          </w:p>
        </w:tc>
        <w:tc>
          <w:tcPr>
            <w:tcW w:type="dxa" w:w="3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PAN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C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O*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C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O*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C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O*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C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O*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D06</w:t>
            </w:r>
          </w:p>
        </w:tc>
        <w:tc>
          <w:tcPr>
            <w:tcW w:type="dxa" w:w="3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Driving License (DL)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D07</w:t>
            </w:r>
          </w:p>
        </w:tc>
        <w:tc>
          <w:tcPr>
            <w:tcW w:type="dxa" w:w="3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Vehicle Registration Certificate (RC)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D08</w:t>
            </w:r>
          </w:p>
        </w:tc>
        <w:tc>
          <w:tcPr>
            <w:tcW w:type="dxa" w:w="3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PUC Certificate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D09</w:t>
            </w:r>
          </w:p>
        </w:tc>
        <w:tc>
          <w:tcPr>
            <w:tcW w:type="dxa" w:w="3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Road Tax / Tax Token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C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C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C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C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D10</w:t>
            </w:r>
          </w:p>
        </w:tc>
        <w:tc>
          <w:tcPr>
            <w:tcW w:type="dxa" w:w="3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Fitness Certificate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6E0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vc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6E0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vc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6E0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vc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6E0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vc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D11</w:t>
            </w:r>
          </w:p>
        </w:tc>
        <w:tc>
          <w:tcPr>
            <w:tcW w:type="dxa" w:w="3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Permit challan (Goods / Taxi / Route)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6E0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vc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6E0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vc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6E0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vc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6E0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vc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D12</w:t>
            </w:r>
          </w:p>
        </w:tc>
        <w:tc>
          <w:tcPr>
            <w:tcW w:type="dxa" w:w="3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Trip Sheet / Waybill / Load Challan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6E0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vc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6E0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vc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6E0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vc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6E0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vc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D13</w:t>
            </w:r>
          </w:p>
        </w:tc>
        <w:tc>
          <w:tcPr>
            <w:tcW w:type="dxa" w:w="3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 28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D14</w:t>
            </w:r>
          </w:p>
        </w:tc>
        <w:tc>
          <w:tcPr>
            <w:tcW w:type="dxa" w:w="3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 29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D15</w:t>
            </w:r>
          </w:p>
        </w:tc>
        <w:tc>
          <w:tcPr>
            <w:tcW w:type="dxa" w:w="3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 30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D16</w:t>
            </w:r>
          </w:p>
        </w:tc>
        <w:tc>
          <w:tcPr>
            <w:tcW w:type="dxa" w:w="3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 35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D17</w:t>
            </w:r>
          </w:p>
        </w:tc>
        <w:tc>
          <w:tcPr>
            <w:tcW w:type="dxa" w:w="3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Cancelled Cheque / Bank Statement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C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O†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C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O†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C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O†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C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O†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D18</w:t>
            </w:r>
          </w:p>
        </w:tc>
        <w:tc>
          <w:tcPr>
            <w:tcW w:type="dxa" w:w="3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Financier NOC / Consent Letter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C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O‡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C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O‡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C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O‡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C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O‡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D19</w:t>
            </w:r>
          </w:p>
        </w:tc>
        <w:tc>
          <w:tcPr>
            <w:tcW w:type="dxa" w:w="3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Loan Outstanding Statement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D20</w:t>
            </w:r>
          </w:p>
        </w:tc>
        <w:tc>
          <w:tcPr>
            <w:tcW w:type="dxa" w:w="3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FIR / Police Report / GD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C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C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C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D21</w:t>
            </w:r>
          </w:p>
        </w:tc>
        <w:tc>
          <w:tcPr>
            <w:tcW w:type="dxa" w:w="3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Final Police Report (Untraced Report)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D22</w:t>
            </w:r>
          </w:p>
        </w:tc>
        <w:tc>
          <w:tcPr>
            <w:tcW w:type="dxa" w:w="3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Damage Estimate Report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M#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D23</w:t>
            </w:r>
          </w:p>
        </w:tc>
        <w:tc>
          <w:tcPr>
            <w:tcW w:type="dxa" w:w="3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Invoice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M#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D24</w:t>
            </w:r>
          </w:p>
        </w:tc>
        <w:tc>
          <w:tcPr>
            <w:tcW w:type="dxa" w:w="3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Repair Bills (Towing / Crane / Parking)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C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C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C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</w:t>
            </w:r>
          </w:p>
        </w:tc>
        <w:tc>
          <w:tcPr>
            <w:tcW w:type="dxa" w:w="21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C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</w:t>
            </w:r>
          </w:p>
        </w:tc>
      </w:tr>
    </w:tbl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Key subtype flips: FIR / Police Report / GD (D20) is Mandatory for Third-Party, Optional elsewhere. Natural Peril and Act of God share the same document signature in this matrix.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</w:rPr>
        <w:t xml:space="preserve">8. Survey Type 2 — Theft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Theft-related claims split by whether the whole vehicle is lost, only accessories, or the vehicle has been recovered.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860"/>
        <w:gridCol w:w="2467"/>
        <w:gridCol w:w="2467"/>
        <w:gridCol w:w="2466"/>
      </w:tblGrid>
      <w:tr>
        <w:trPr>
          <w:tblHeader/>
        </w:trP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A8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A8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246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A8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Theft</w:t>
            </w:r>
          </w:p>
        </w:tc>
        <w:tc>
          <w:tcPr>
            <w:tcW w:type="dxa" w:w="246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A8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Accessory Theft</w:t>
            </w:r>
          </w:p>
        </w:tc>
        <w:tc>
          <w:tcPr>
            <w:tcW w:type="dxa" w:w="246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A8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Recovered Theft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D01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Claim Form</w:t>
            </w:r>
          </w:p>
        </w:tc>
        <w:tc>
          <w:tcPr>
            <w:tcW w:type="dxa" w:w="246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  <w:tc>
          <w:tcPr>
            <w:tcW w:type="dxa" w:w="246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  <w:tc>
          <w:tcPr>
            <w:tcW w:type="dxa" w:w="246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D02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Claim Discharge Voucher (CDV)</w:t>
            </w:r>
          </w:p>
        </w:tc>
        <w:tc>
          <w:tcPr>
            <w:tcW w:type="dxa" w:w="246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  <w:tc>
          <w:tcPr>
            <w:tcW w:type="dxa" w:w="246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  <w:tc>
          <w:tcPr>
            <w:tcW w:type="dxa" w:w="246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D03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Insurance Policy Copy (Schedule)</w:t>
            </w:r>
          </w:p>
        </w:tc>
        <w:tc>
          <w:tcPr>
            <w:tcW w:type="dxa" w:w="246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  <w:tc>
          <w:tcPr>
            <w:tcW w:type="dxa" w:w="246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  <w:tc>
          <w:tcPr>
            <w:tcW w:type="dxa" w:w="246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D04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Aadhaar</w:t>
            </w:r>
          </w:p>
        </w:tc>
        <w:tc>
          <w:tcPr>
            <w:tcW w:type="dxa" w:w="246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  <w:tc>
          <w:tcPr>
            <w:tcW w:type="dxa" w:w="246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C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O*</w:t>
            </w:r>
          </w:p>
        </w:tc>
        <w:tc>
          <w:tcPr>
            <w:tcW w:type="dxa" w:w="246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D05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PAN</w:t>
            </w:r>
          </w:p>
        </w:tc>
        <w:tc>
          <w:tcPr>
            <w:tcW w:type="dxa" w:w="246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  <w:tc>
          <w:tcPr>
            <w:tcW w:type="dxa" w:w="246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C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O*</w:t>
            </w:r>
          </w:p>
        </w:tc>
        <w:tc>
          <w:tcPr>
            <w:tcW w:type="dxa" w:w="246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D06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Driving License (DL)</w:t>
            </w:r>
          </w:p>
        </w:tc>
        <w:tc>
          <w:tcPr>
            <w:tcW w:type="dxa" w:w="246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C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</w:t>
            </w:r>
          </w:p>
        </w:tc>
        <w:tc>
          <w:tcPr>
            <w:tcW w:type="dxa" w:w="246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C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</w:t>
            </w:r>
          </w:p>
        </w:tc>
        <w:tc>
          <w:tcPr>
            <w:tcW w:type="dxa" w:w="246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D07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Vehicle Registration Certificate (RC)</w:t>
            </w:r>
          </w:p>
        </w:tc>
        <w:tc>
          <w:tcPr>
            <w:tcW w:type="dxa" w:w="246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  <w:tc>
          <w:tcPr>
            <w:tcW w:type="dxa" w:w="246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  <w:tc>
          <w:tcPr>
            <w:tcW w:type="dxa" w:w="246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D08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PUC Certificate</w:t>
            </w:r>
          </w:p>
        </w:tc>
        <w:tc>
          <w:tcPr>
            <w:tcW w:type="dxa" w:w="246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C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</w:t>
            </w:r>
          </w:p>
        </w:tc>
        <w:tc>
          <w:tcPr>
            <w:tcW w:type="dxa" w:w="246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  <w:tc>
          <w:tcPr>
            <w:tcW w:type="dxa" w:w="246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D09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Road Tax / Tax Token</w:t>
            </w:r>
          </w:p>
        </w:tc>
        <w:tc>
          <w:tcPr>
            <w:tcW w:type="dxa" w:w="246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  <w:tc>
          <w:tcPr>
            <w:tcW w:type="dxa" w:w="246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C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</w:t>
            </w:r>
          </w:p>
        </w:tc>
        <w:tc>
          <w:tcPr>
            <w:tcW w:type="dxa" w:w="246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C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D10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Fitness Certificate</w:t>
            </w:r>
          </w:p>
        </w:tc>
        <w:tc>
          <w:tcPr>
            <w:tcW w:type="dxa" w:w="246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6E0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vc</w:t>
            </w:r>
          </w:p>
        </w:tc>
        <w:tc>
          <w:tcPr>
            <w:tcW w:type="dxa" w:w="246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6E0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vc</w:t>
            </w:r>
          </w:p>
        </w:tc>
        <w:tc>
          <w:tcPr>
            <w:tcW w:type="dxa" w:w="246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6E0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vc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D11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Permit challan (Goods / Taxi / Route)</w:t>
            </w:r>
          </w:p>
        </w:tc>
        <w:tc>
          <w:tcPr>
            <w:tcW w:type="dxa" w:w="246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6E0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vc</w:t>
            </w:r>
          </w:p>
        </w:tc>
        <w:tc>
          <w:tcPr>
            <w:tcW w:type="dxa" w:w="246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6E0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vc</w:t>
            </w:r>
          </w:p>
        </w:tc>
        <w:tc>
          <w:tcPr>
            <w:tcW w:type="dxa" w:w="246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6E0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vc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D12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Trip Sheet / Waybill / Load Challan</w:t>
            </w:r>
          </w:p>
        </w:tc>
        <w:tc>
          <w:tcPr>
            <w:tcW w:type="dxa" w:w="246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6E0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vc</w:t>
            </w:r>
          </w:p>
        </w:tc>
        <w:tc>
          <w:tcPr>
            <w:tcW w:type="dxa" w:w="246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6E0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vc</w:t>
            </w:r>
          </w:p>
        </w:tc>
        <w:tc>
          <w:tcPr>
            <w:tcW w:type="dxa" w:w="246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6E0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vc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D13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 28</w:t>
            </w:r>
          </w:p>
        </w:tc>
        <w:tc>
          <w:tcPr>
            <w:tcW w:type="dxa" w:w="246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  <w:tc>
          <w:tcPr>
            <w:tcW w:type="dxa" w:w="246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</w:t>
            </w:r>
          </w:p>
        </w:tc>
        <w:tc>
          <w:tcPr>
            <w:tcW w:type="dxa" w:w="246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D14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 29</w:t>
            </w:r>
          </w:p>
        </w:tc>
        <w:tc>
          <w:tcPr>
            <w:tcW w:type="dxa" w:w="246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  <w:tc>
          <w:tcPr>
            <w:tcW w:type="dxa" w:w="246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</w:t>
            </w:r>
          </w:p>
        </w:tc>
        <w:tc>
          <w:tcPr>
            <w:tcW w:type="dxa" w:w="246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D15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 30</w:t>
            </w:r>
          </w:p>
        </w:tc>
        <w:tc>
          <w:tcPr>
            <w:tcW w:type="dxa" w:w="246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  <w:tc>
          <w:tcPr>
            <w:tcW w:type="dxa" w:w="246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</w:t>
            </w:r>
          </w:p>
        </w:tc>
        <w:tc>
          <w:tcPr>
            <w:tcW w:type="dxa" w:w="246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D16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 35</w:t>
            </w:r>
          </w:p>
        </w:tc>
        <w:tc>
          <w:tcPr>
            <w:tcW w:type="dxa" w:w="246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C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O‡</w:t>
            </w:r>
          </w:p>
        </w:tc>
        <w:tc>
          <w:tcPr>
            <w:tcW w:type="dxa" w:w="246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</w:t>
            </w:r>
          </w:p>
        </w:tc>
        <w:tc>
          <w:tcPr>
            <w:tcW w:type="dxa" w:w="246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D17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Cancelled Cheque / Bank Statement</w:t>
            </w:r>
          </w:p>
        </w:tc>
        <w:tc>
          <w:tcPr>
            <w:tcW w:type="dxa" w:w="246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  <w:tc>
          <w:tcPr>
            <w:tcW w:type="dxa" w:w="246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C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O†</w:t>
            </w:r>
          </w:p>
        </w:tc>
        <w:tc>
          <w:tcPr>
            <w:tcW w:type="dxa" w:w="246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C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O†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D18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Financier NOC / Consent Letter</w:t>
            </w:r>
          </w:p>
        </w:tc>
        <w:tc>
          <w:tcPr>
            <w:tcW w:type="dxa" w:w="246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C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O‡</w:t>
            </w:r>
          </w:p>
        </w:tc>
        <w:tc>
          <w:tcPr>
            <w:tcW w:type="dxa" w:w="246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C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O‡</w:t>
            </w:r>
          </w:p>
        </w:tc>
        <w:tc>
          <w:tcPr>
            <w:tcW w:type="dxa" w:w="246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C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O‡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D19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Loan Outstanding Statement</w:t>
            </w:r>
          </w:p>
        </w:tc>
        <w:tc>
          <w:tcPr>
            <w:tcW w:type="dxa" w:w="246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C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O‡</w:t>
            </w:r>
          </w:p>
        </w:tc>
        <w:tc>
          <w:tcPr>
            <w:tcW w:type="dxa" w:w="246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</w:t>
            </w:r>
          </w:p>
        </w:tc>
        <w:tc>
          <w:tcPr>
            <w:tcW w:type="dxa" w:w="246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D20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FIR / Police Report / GD</w:t>
            </w:r>
          </w:p>
        </w:tc>
        <w:tc>
          <w:tcPr>
            <w:tcW w:type="dxa" w:w="246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  <w:tc>
          <w:tcPr>
            <w:tcW w:type="dxa" w:w="246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  <w:tc>
          <w:tcPr>
            <w:tcW w:type="dxa" w:w="246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D21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Final Police Report (Untraced Report)</w:t>
            </w:r>
          </w:p>
        </w:tc>
        <w:tc>
          <w:tcPr>
            <w:tcW w:type="dxa" w:w="246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  <w:tc>
          <w:tcPr>
            <w:tcW w:type="dxa" w:w="246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</w:t>
            </w:r>
          </w:p>
        </w:tc>
        <w:tc>
          <w:tcPr>
            <w:tcW w:type="dxa" w:w="246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D22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Damage Estimate Report</w:t>
            </w:r>
          </w:p>
        </w:tc>
        <w:tc>
          <w:tcPr>
            <w:tcW w:type="dxa" w:w="246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</w:t>
            </w:r>
          </w:p>
        </w:tc>
        <w:tc>
          <w:tcPr>
            <w:tcW w:type="dxa" w:w="246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  <w:tc>
          <w:tcPr>
            <w:tcW w:type="dxa" w:w="246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D23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Invoice</w:t>
            </w:r>
          </w:p>
        </w:tc>
        <w:tc>
          <w:tcPr>
            <w:tcW w:type="dxa" w:w="246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</w:t>
            </w:r>
          </w:p>
        </w:tc>
        <w:tc>
          <w:tcPr>
            <w:tcW w:type="dxa" w:w="246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  <w:tc>
          <w:tcPr>
            <w:tcW w:type="dxa" w:w="246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D24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Repair Bills (Towing / Crane / Parking)</w:t>
            </w:r>
          </w:p>
        </w:tc>
        <w:tc>
          <w:tcPr>
            <w:tcW w:type="dxa" w:w="246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</w:t>
            </w:r>
          </w:p>
        </w:tc>
        <w:tc>
          <w:tcPr>
            <w:tcW w:type="dxa" w:w="2467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C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</w:t>
            </w:r>
          </w:p>
        </w:tc>
        <w:tc>
          <w:tcPr>
            <w:tcW w:type="dxa" w:w="2466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C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</w:t>
            </w:r>
          </w:p>
        </w:tc>
      </w:tr>
    </w:tbl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Full Theft is the only subtype that triggers the RC-transfer forms (D13–D15) and the Untraced Report (D21). Accessory Theft and Recovered Theft behave like small Own-Damage claims layered on top of a mandatory FIR.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</w:rPr>
        <w:t xml:space="preserve">9. Survey Type 3 — Total Loss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Constructive Total Loss — repair cost ≥ ~75% of IDV; vehicle written off and settled at IDV less salvage. No subtypes.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260"/>
        <w:gridCol w:w="4000"/>
      </w:tblGrid>
      <w:tr>
        <w:trPr>
          <w:tblHeader/>
        </w:trP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A8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2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A8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A8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Loss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D01</w:t>
            </w:r>
          </w:p>
        </w:tc>
        <w:tc>
          <w:tcPr>
            <w:tcW w:type="dxa" w:w="82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Claim Form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D02</w:t>
            </w:r>
          </w:p>
        </w:tc>
        <w:tc>
          <w:tcPr>
            <w:tcW w:type="dxa" w:w="82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Claim Discharge Voucher (CDV)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D03</w:t>
            </w:r>
          </w:p>
        </w:tc>
        <w:tc>
          <w:tcPr>
            <w:tcW w:type="dxa" w:w="82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Insurance Policy Copy (Schedule)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D04</w:t>
            </w:r>
          </w:p>
        </w:tc>
        <w:tc>
          <w:tcPr>
            <w:tcW w:type="dxa" w:w="82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Aadhaar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D05</w:t>
            </w:r>
          </w:p>
        </w:tc>
        <w:tc>
          <w:tcPr>
            <w:tcW w:type="dxa" w:w="82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PAN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D06</w:t>
            </w:r>
          </w:p>
        </w:tc>
        <w:tc>
          <w:tcPr>
            <w:tcW w:type="dxa" w:w="82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Driving License (DL)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D07</w:t>
            </w:r>
          </w:p>
        </w:tc>
        <w:tc>
          <w:tcPr>
            <w:tcW w:type="dxa" w:w="82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Vehicle Registration Certificate (RC)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D08</w:t>
            </w:r>
          </w:p>
        </w:tc>
        <w:tc>
          <w:tcPr>
            <w:tcW w:type="dxa" w:w="82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PUC Certificate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D09</w:t>
            </w:r>
          </w:p>
        </w:tc>
        <w:tc>
          <w:tcPr>
            <w:tcW w:type="dxa" w:w="82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Road Tax / Tax Token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D10</w:t>
            </w:r>
          </w:p>
        </w:tc>
        <w:tc>
          <w:tcPr>
            <w:tcW w:type="dxa" w:w="82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Fitness Certificate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6E0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vc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D11</w:t>
            </w:r>
          </w:p>
        </w:tc>
        <w:tc>
          <w:tcPr>
            <w:tcW w:type="dxa" w:w="82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Permit challan (Goods / Taxi / Route)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6E0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vc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D12</w:t>
            </w:r>
          </w:p>
        </w:tc>
        <w:tc>
          <w:tcPr>
            <w:tcW w:type="dxa" w:w="82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Trip Sheet / Waybill / Load Challan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E6E0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vc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D13</w:t>
            </w:r>
          </w:p>
        </w:tc>
        <w:tc>
          <w:tcPr>
            <w:tcW w:type="dxa" w:w="82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 28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D14</w:t>
            </w:r>
          </w:p>
        </w:tc>
        <w:tc>
          <w:tcPr>
            <w:tcW w:type="dxa" w:w="82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 29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D15</w:t>
            </w:r>
          </w:p>
        </w:tc>
        <w:tc>
          <w:tcPr>
            <w:tcW w:type="dxa" w:w="82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 30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D16</w:t>
            </w:r>
          </w:p>
        </w:tc>
        <w:tc>
          <w:tcPr>
            <w:tcW w:type="dxa" w:w="82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 35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C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O‡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D17</w:t>
            </w:r>
          </w:p>
        </w:tc>
        <w:tc>
          <w:tcPr>
            <w:tcW w:type="dxa" w:w="82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Cancelled Cheque / Bank Statement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D18</w:t>
            </w:r>
          </w:p>
        </w:tc>
        <w:tc>
          <w:tcPr>
            <w:tcW w:type="dxa" w:w="82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Financier NOC / Consent Letter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C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O‡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D19</w:t>
            </w:r>
          </w:p>
        </w:tc>
        <w:tc>
          <w:tcPr>
            <w:tcW w:type="dxa" w:w="82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Loan Outstanding Statement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C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O‡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D20</w:t>
            </w:r>
          </w:p>
        </w:tc>
        <w:tc>
          <w:tcPr>
            <w:tcW w:type="dxa" w:w="82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FIR / Police Report / GD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D21</w:t>
            </w:r>
          </w:p>
        </w:tc>
        <w:tc>
          <w:tcPr>
            <w:tcW w:type="dxa" w:w="82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Final Police Report (Untraced Report)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D22</w:t>
            </w:r>
          </w:p>
        </w:tc>
        <w:tc>
          <w:tcPr>
            <w:tcW w:type="dxa" w:w="82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Damage Estimate Report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4ED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D23</w:t>
            </w:r>
          </w:p>
        </w:tc>
        <w:tc>
          <w:tcPr>
            <w:tcW w:type="dxa" w:w="82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Invoice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</w:t>
            </w:r>
          </w:p>
        </w:tc>
      </w:tr>
      <w:tr>
        <w:tc>
          <w:tcPr>
            <w:tcW w:type="dxa" w:w="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D24</w:t>
            </w:r>
          </w:p>
        </w:tc>
        <w:tc>
          <w:tcPr>
            <w:tcW w:type="dxa" w:w="82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Repair Bills (Towing / Crane / Parking)</w:t>
            </w:r>
          </w:p>
        </w:tc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C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</w:t>
            </w:r>
          </w:p>
        </w:tc>
      </w:tr>
    </w:tbl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Damage Estimate (D22) is Mandatory because it evidences the 75%-of-IDV trigger for CTL. Invoice (D23) is NA because the vehicle is not repaired. RC-transfer forms (D13–D15) are Mandatory because the RC transfers to the insurer for salvage disposal.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</w:rPr>
        <w:t xml:space="preserve">10. Configuration shape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schema below shows how each document requirement is represented in the rules engine. The insurer-facing config surface per document is (4 + 3 + 1) = 8 survey-type × subtype cells, plus 3 vehicle-class cells on the four vehicle-class-driven docs. Threshold values (KYC, financier-NOC amount) live in InsurerConfig. Every runtime O → M promotion must emit a reason code into the audit log.</w:t>
      </w:r>
    </w:p>
    <w:p>
      <w:pPr>
        <w:shd w:fill="F5F5F5" w:color="auto" w:val="clear"/>
        <w:spacing w:after="160" w:before="80"/>
      </w:pPr>
      <w:r>
        <w:rPr>
          <w:rFonts w:ascii="Consolas" w:cs="Consolas" w:eastAsia="Consolas" w:hAnsi="Consolas"/>
          <w:sz w:val="18"/>
          <w:szCs w:val="18"/>
        </w:rPr>
        <w:t xml:space="preserve">DocumentRequirement {</w:t>
      </w:r>
    </w:p>
    <w:p>
      <w:pPr>
        <w:shd w:fill="F5F5F5" w:color="auto" w:val="clear"/>
        <w:spacing w:after="160" w:before="80"/>
      </w:pPr>
      <w:r>
        <w:rPr>
          <w:rFonts w:ascii="Consolas" w:cs="Consolas" w:eastAsia="Consolas" w:hAnsi="Consolas"/>
          <w:sz w:val="18"/>
          <w:szCs w:val="18"/>
        </w:rPr>
        <w:t xml:space="preserve">  docCode,                              // D01..D24</w:t>
      </w:r>
    </w:p>
    <w:p>
      <w:pPr>
        <w:shd w:fill="F5F5F5" w:color="auto" w:val="clear"/>
        <w:spacing w:after="160" w:before="80"/>
      </w:pPr>
      <w:r>
        <w:rPr>
          <w:rFonts w:ascii="Consolas" w:cs="Consolas" w:eastAsia="Consolas" w:hAnsi="Consolas"/>
          <w:sz w:val="18"/>
          <w:szCs w:val="18"/>
        </w:rPr>
        <w:t xml:space="preserve">  title, description, source, category, // static</w:t>
      </w:r>
    </w:p>
    <w:p>
      <w:pPr>
        <w:shd w:fill="F5F5F5" w:color="auto" w:val="clear"/>
        <w:spacing w:after="160" w:before="80"/>
      </w:pPr>
      <w:r>
        <w:rPr>
          <w:rFonts w:ascii="Consolas" w:cs="Consolas" w:eastAsia="Consolas" w:hAnsi="Consolas"/>
          <w:sz w:val="18"/>
          <w:szCs w:val="18"/>
        </w:rPr>
        <w:t xml:space="preserve">  labelBySurveyTypeAndSubtype: {</w:t>
      </w:r>
    </w:p>
    <w:p>
      <w:pPr>
        <w:shd w:fill="F5F5F5" w:color="auto" w:val="clear"/>
        <w:spacing w:after="160" w:before="80"/>
      </w:pPr>
      <w:r>
        <w:rPr>
          <w:rFonts w:ascii="Consolas" w:cs="Consolas" w:eastAsia="Consolas" w:hAnsi="Consolas"/>
          <w:sz w:val="18"/>
          <w:szCs w:val="18"/>
        </w:rPr>
        <w:t xml:space="preserve">    ACCIDENT:   { OD, TP, NATURAL_PERIL, ACT_OF_GOD },</w:t>
      </w:r>
    </w:p>
    <w:p>
      <w:pPr>
        <w:shd w:fill="F5F5F5" w:color="auto" w:val="clear"/>
        <w:spacing w:after="160" w:before="80"/>
      </w:pPr>
      <w:r>
        <w:rPr>
          <w:rFonts w:ascii="Consolas" w:cs="Consolas" w:eastAsia="Consolas" w:hAnsi="Consolas"/>
          <w:sz w:val="18"/>
          <w:szCs w:val="18"/>
        </w:rPr>
        <w:t xml:space="preserve">    THEFT:      { FULL, ACCESSORY, RECOVERED },</w:t>
      </w:r>
    </w:p>
    <w:p>
      <w:pPr>
        <w:shd w:fill="F5F5F5" w:color="auto" w:val="clear"/>
        <w:spacing w:after="160" w:before="80"/>
      </w:pPr>
      <w:r>
        <w:rPr>
          <w:rFonts w:ascii="Consolas" w:cs="Consolas" w:eastAsia="Consolas" w:hAnsi="Consolas"/>
          <w:sz w:val="18"/>
          <w:szCs w:val="18"/>
        </w:rPr>
        <w:t xml:space="preserve">    TOTAL_LOSS: &lt;single label&gt;</w:t>
      </w:r>
    </w:p>
    <w:p>
      <w:pPr>
        <w:shd w:fill="F5F5F5" w:color="auto" w:val="clear"/>
        <w:spacing w:after="160" w:before="8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5F5F5" w:color="auto" w:val="clear"/>
        <w:spacing w:after="160" w:before="80"/>
      </w:pPr>
      <w:r>
        <w:rPr>
          <w:rFonts w:ascii="Consolas" w:cs="Consolas" w:eastAsia="Consolas" w:hAnsi="Consolas"/>
          <w:sz w:val="18"/>
          <w:szCs w:val="18"/>
        </w:rPr>
        <w:t xml:space="preserve">  vehicleClassRule?: {                  // only on D09, D10, D11, D12</w:t>
      </w:r>
    </w:p>
    <w:p>
      <w:pPr>
        <w:shd w:fill="F5F5F5" w:color="auto" w:val="clear"/>
        <w:spacing w:after="160" w:before="80"/>
      </w:pPr>
      <w:r>
        <w:rPr>
          <w:rFonts w:ascii="Consolas" w:cs="Consolas" w:eastAsia="Consolas" w:hAnsi="Consolas"/>
          <w:sz w:val="18"/>
          <w:szCs w:val="18"/>
        </w:rPr>
        <w:t xml:space="preserve">    PRIVATE, COMMERCIAL_GOODS, COMMERCIAL_TAXI</w:t>
      </w:r>
    </w:p>
    <w:p>
      <w:pPr>
        <w:shd w:fill="F5F5F5" w:color="auto" w:val="clear"/>
        <w:spacing w:after="160" w:before="8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5F5F5" w:color="auto" w:val="clear"/>
        <w:spacing w:after="160" w:before="80"/>
      </w:pPr>
      <w:r>
        <w:rPr>
          <w:rFonts w:ascii="Consolas" w:cs="Consolas" w:eastAsia="Consolas" w:hAnsi="Consolas"/>
          <w:sz w:val="18"/>
          <w:szCs w:val="18"/>
        </w:rPr>
        <w:t xml:space="preserve">  inlineRule?                           // O → M at runtime: KYC / reimbursement / hypothecation / pure-TP</w:t>
      </w:r>
    </w:p>
    <w:p>
      <w:pPr>
        <w:shd w:fill="F5F5F5" w:color="auto" w:val="clear"/>
        <w:spacing w:after="160" w:before="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before="320"/>
        <w:jc w:val="left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Threshold values (KYC band, financier-NOC amount, subtype-specific overrides) must be verified against the current IRDAI master directions and each insurer's claims manual before coding defaults.</w:t>
      </w:r>
    </w:p>
    <w:sectPr>
      <w:pgSz w:w="15840" w:h="12240" w:orient="landscape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2E5A8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5A8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5A8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2026-04-22T12:19:27.785Z</dcterms:created>
  <dcterms:modified xsi:type="dcterms:W3CDTF">2026-04-22T12:19:27.792Z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