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rPr/>
      </w:pPr>
      <w:r w:rsidDel="00000000" w:rsidR="00000000" w:rsidRPr="00000000">
        <w:rPr>
          <w:rFonts w:ascii="Times New Roman" w:cs="Times New Roman" w:eastAsia="Times New Roman" w:hAnsi="Times New Roman"/>
          <w:b w:val="1"/>
          <w:bCs w:val="1"/>
          <w:sz w:val="28"/>
          <w:szCs w:val="28"/>
          <w:rtl w:val="0"/>
        </w:rPr>
        <w:t xml:space="preserve">3. Methods</w:t>
      </w:r>
      <w:r w:rsidDel="00000000" w:rsidR="00000000" w:rsidRPr="00000000">
        <w:rPr>
          <w:rtl w:val="0"/>
        </w:rPr>
      </w:r>
    </w:p>
    <w:p w:rsidR="00000000" w:rsidDel="00000000" w:rsidP="00000000" w:rsidRDefault="00000000" w:rsidRPr="00000000" w14:paraId="00000002">
      <w:pPr>
        <w:pStyle w:val="Heading2"/>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3.1 Data Acquisition</w:t>
      </w:r>
      <w:r w:rsidDel="00000000" w:rsidR="00000000" w:rsidRPr="00000000">
        <w:rPr>
          <w:rtl w:val="0"/>
        </w:rPr>
      </w:r>
    </w:p>
    <w:p w:rsidR="00000000" w:rsidDel="00000000" w:rsidP="00000000" w:rsidRDefault="00000000" w:rsidRPr="00000000" w14:paraId="00000003">
      <w:pPr>
        <w:spacing w:after="160" w:line="276" w:lineRule="auto"/>
        <w:jc w:val="both"/>
        <w:rPr/>
      </w:pPr>
      <w:r w:rsidDel="00000000" w:rsidR="00000000" w:rsidRPr="00000000">
        <w:rPr>
          <w:rtl w:val="0"/>
        </w:rPr>
        <w:t xml:space="preserve">All statistics were retrieved from the Statistics provided by the NBA which can be found on their website as well as the statistics derived through an application programming interface (API) using the NBA API library in Python.  These 3 requests were made to the API for the 2024-25 NBA Season with the PerGame method of statistical display.</w:t>
      </w:r>
    </w:p>
    <w:p w:rsidR="00000000" w:rsidDel="00000000" w:rsidP="00000000" w:rsidRDefault="00000000" w:rsidRPr="00000000" w14:paraId="00000004">
      <w:pPr>
        <w:spacing w:after="160" w:line="276" w:lineRule="auto"/>
        <w:jc w:val="both"/>
        <w:rPr/>
      </w:pPr>
      <w:r w:rsidDel="00000000" w:rsidR="00000000" w:rsidRPr="00000000">
        <w:rPr>
          <w:rtl w:val="0"/>
        </w:rPr>
        <w:t xml:space="preserve">The first of the 3 requests was to the LeagueDashTeamClutch (measure_type = Base) endpoint within the NBA API and contained as part of the request all of the traditional box score stats from a game including games played, games won, win %, points, field goal %, 3 point attempts and % made, free throw attempts and % made, rebound, assists, turnovers, and +/-, in the "Clutch" Time of a game (last 5 minutes of the game, score differential +/- 5 points or less).</w:t>
      </w:r>
    </w:p>
    <w:p w:rsidR="00000000" w:rsidDel="00000000" w:rsidP="00000000" w:rsidRDefault="00000000" w:rsidRPr="00000000" w14:paraId="00000005">
      <w:pPr>
        <w:spacing w:after="160" w:line="276" w:lineRule="auto"/>
        <w:jc w:val="both"/>
        <w:rPr/>
      </w:pPr>
      <w:r w:rsidDel="00000000" w:rsidR="00000000" w:rsidRPr="00000000">
        <w:rPr>
          <w:rtl w:val="0"/>
        </w:rPr>
        <w:t xml:space="preserve">The second request was to the LeagueDashTeamClutch (measure_type = Four Factors) endpoint within the NBA API and contained as part of the request the same four efficiency statistical measures created by Dean Oliver to evaluate teams' performances in the "Clutch" Time of the game as in the first request.</w:t>
      </w:r>
    </w:p>
    <w:p w:rsidR="00000000" w:rsidDel="00000000" w:rsidP="00000000" w:rsidRDefault="00000000" w:rsidRPr="00000000" w14:paraId="00000006">
      <w:pPr>
        <w:spacing w:after="160" w:line="276" w:lineRule="auto"/>
        <w:jc w:val="both"/>
        <w:rPr/>
      </w:pPr>
      <w:r w:rsidDel="00000000" w:rsidR="00000000" w:rsidRPr="00000000">
        <w:rPr>
          <w:rtl w:val="0"/>
        </w:rPr>
        <w:t xml:space="preserve">The final request was made to the LeagueDashTeamStats (measure_type = Base) endpoint within the NBA API and was to obtain the same traditional statistical results for all 30 NBA teams for the entire regular season with no "Clutch" Time filter applied to the results.</w:t>
      </w:r>
    </w:p>
    <w:p w:rsidR="00000000" w:rsidDel="00000000" w:rsidP="00000000" w:rsidRDefault="00000000" w:rsidRPr="00000000" w14:paraId="00000007">
      <w:pPr>
        <w:spacing w:after="160" w:line="276" w:lineRule="auto"/>
        <w:jc w:val="both"/>
        <w:rPr/>
      </w:pPr>
      <w:r w:rsidDel="00000000" w:rsidR="00000000" w:rsidRPr="00000000">
        <w:rPr>
          <w:rtl w:val="0"/>
        </w:rPr>
        <w:t xml:space="preserve">The two requests for "Clutch" Time statistics included the following three parameters: (i) clutch_time=Last 5 Minutes; (ii) ahead_behind=Ahead or Behind; and (iii) point_diff=5.  A 1-second delay between requests (time.sleep(1)) was used to comply with the NBA API's rate limit on the total number of requests allowed in a specified time period. The results of the three requests were saved in the following files: clutch_traditional.csv, clutch_four_factors.csv, regular_traditional.csv.</w:t>
      </w: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3.2 Data Cleaning and Preprocessing</w:t>
      </w:r>
      <w:r w:rsidDel="00000000" w:rsidR="00000000" w:rsidRPr="00000000">
        <w:rPr>
          <w:rtl w:val="0"/>
        </w:rPr>
      </w:r>
    </w:p>
    <w:p w:rsidR="00000000" w:rsidDel="00000000" w:rsidP="00000000" w:rsidRDefault="00000000" w:rsidRPr="00000000" w14:paraId="00000009">
      <w:pPr>
        <w:spacing w:after="160" w:line="276" w:lineRule="auto"/>
        <w:jc w:val="both"/>
        <w:rPr/>
      </w:pPr>
      <w:r w:rsidDel="00000000" w:rsidR="00000000" w:rsidRPr="00000000">
        <w:rPr>
          <w:rtl w:val="0"/>
        </w:rPr>
        <w:t xml:space="preserve">The nba_merged.py script performed the majority of our cleaning using pandas. For all data in the dataframes we kept only those columns that were relevant to our analysis (Table 1); we discarded any other data that the API returns as a default, such as administrative fields (e.g., TEAM_ID, LEAGUE_ID, and RANK) that have no bearing on our analysis. We removed any trailing whitespace from team names with .str.strip() so we could ensure they would not fail due to being matched as strings in the merge operation. Then, we renamed all columns to have either the prefix clutch_ or reg_. Therefore, every column in the merged data has an unambiguous name that indicates what is being measured and the context from which it came (e.g., W_PCT becomes clutch_win_pct or reg_win_pct). The complete rename mappings can be found in the python script.</w:t>
      </w:r>
      <w:r w:rsidDel="00000000" w:rsidR="00000000" w:rsidRPr="00000000">
        <w:rPr>
          <w:rtl w:val="0"/>
        </w:rPr>
      </w:r>
    </w:p>
    <w:p w:rsidR="00000000" w:rsidDel="00000000" w:rsidP="00000000" w:rsidRDefault="00000000" w:rsidRPr="00000000" w14:paraId="0000000A">
      <w:pPr>
        <w:spacing w:after="10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1. </w:t>
      </w:r>
      <w:r w:rsidDel="00000000" w:rsidR="00000000" w:rsidRPr="00000000">
        <w:rPr>
          <w:rFonts w:ascii="Times New Roman" w:cs="Times New Roman" w:eastAsia="Times New Roman" w:hAnsi="Times New Roman"/>
          <w:i w:val="1"/>
          <w:iCs w:val="1"/>
          <w:sz w:val="20"/>
          <w:szCs w:val="20"/>
          <w:rtl w:val="0"/>
        </w:rPr>
        <w:t xml:space="preserve">Columns retained from each source file and prefix applied after renaming.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760"/>
        <w:gridCol w:w="2000"/>
        <w:tblGridChange w:id="0">
          <w:tblGrid>
            <w:gridCol w:w="2600"/>
            <w:gridCol w:w="476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00B">
            <w:pPr>
              <w:spacing w:after="0" w:lineRule="auto"/>
              <w:rPr/>
            </w:pPr>
            <w:r w:rsidDel="00000000" w:rsidR="00000000" w:rsidRPr="00000000">
              <w:rPr>
                <w:rFonts w:ascii="Times New Roman" w:cs="Times New Roman" w:eastAsia="Times New Roman" w:hAnsi="Times New Roman"/>
                <w:b w:val="1"/>
                <w:bCs w:val="1"/>
                <w:sz w:val="20"/>
                <w:szCs w:val="20"/>
                <w:rtl w:val="0"/>
              </w:rPr>
              <w:t xml:space="preserve">Source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00C">
            <w:pPr>
              <w:spacing w:after="0" w:lineRule="auto"/>
              <w:rPr/>
            </w:pPr>
            <w:r w:rsidDel="00000000" w:rsidR="00000000" w:rsidRPr="00000000">
              <w:rPr>
                <w:rFonts w:ascii="Times New Roman" w:cs="Times New Roman" w:eastAsia="Times New Roman" w:hAnsi="Times New Roman"/>
                <w:b w:val="1"/>
                <w:bCs w:val="1"/>
                <w:sz w:val="20"/>
                <w:szCs w:val="20"/>
                <w:rtl w:val="0"/>
              </w:rPr>
              <w:t xml:space="preserve">Columns Retained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1"/>
                <w:bCs w:val="1"/>
                <w:sz w:val="20"/>
                <w:szCs w:val="20"/>
                <w:rtl w:val="0"/>
              </w:rPr>
              <w:t xml:space="preserve">Prefix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clutch_traditional.csv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TEAM_NAME, GP, W, L, W_PCT, PTS, FG_PCT, FG3A, FG3_PCT, FT_PCT, FTA, REB, AST, TOV, PLUS_MINUS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clutch_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clutch_four_factors.csv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TEAM_NAME, EFG_PCT, FTA_RATE, TM_TOV_PCT, OREB_PCT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clutch_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regular_traditional.csv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TEAM_NAME, GP, W, L, W_PCT, PTS, FG_PCT, FG3A, FG3_PCT, FT_PCT, FTA, REB, AST, TOV, PLUS_MINUS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reg_</w:t>
            </w:r>
            <w:r w:rsidDel="00000000" w:rsidR="00000000" w:rsidRPr="00000000">
              <w:rPr>
                <w:rtl w:val="0"/>
              </w:rPr>
            </w:r>
          </w:p>
        </w:tc>
      </w:tr>
    </w:tbl>
    <w:p w:rsidR="00000000" w:rsidDel="00000000" w:rsidP="00000000" w:rsidRDefault="00000000" w:rsidRPr="00000000" w14:paraId="00000017">
      <w:pPr>
        <w:pStyle w:val="Heading2"/>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3.3 Dataset Merging</w:t>
      </w: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rtl w:val="0"/>
        </w:rPr>
        <w:t xml:space="preserve">Merge of the 3 DataFrames was completed in 2 steps by merging the Clutch Traditional and Clutch Four Factor data on the Team column and then merging the result with the Regular Season DataFrame on the same Team column. Both merges used an Inner Join so only complete records for each team would remain in the final output.</w:t>
      </w:r>
    </w:p>
    <w:p w:rsidR="00000000" w:rsidDel="00000000" w:rsidP="00000000" w:rsidRDefault="00000000" w:rsidRPr="00000000" w14:paraId="00000019">
      <w:pPr>
        <w:spacing w:after="160" w:line="276" w:lineRule="auto"/>
        <w:jc w:val="both"/>
        <w:rPr/>
      </w:pPr>
      <w:r w:rsidDel="00000000" w:rsidR="00000000" w:rsidRPr="00000000">
        <w:rPr>
          <w:rtl w:val="0"/>
        </w:rPr>
        <w:t xml:space="preserve">Prior to merging, there were zero duplicate team names in each DataFrame (verified using .duplicated().sum()), and we confirmed before merging that all numeric columns were already typed as either float or integer.</w:t>
      </w:r>
    </w:p>
    <w:p w:rsidR="00000000" w:rsidDel="00000000" w:rsidP="00000000" w:rsidRDefault="00000000" w:rsidRPr="00000000" w14:paraId="0000001A">
      <w:pPr>
        <w:spacing w:after="160" w:line="276" w:lineRule="auto"/>
        <w:jc w:val="both"/>
        <w:rPr/>
      </w:pPr>
      <w:r w:rsidDel="00000000" w:rsidR="00000000" w:rsidRPr="00000000">
        <w:rPr>
          <w:rtl w:val="0"/>
        </w:rPr>
        <w:t xml:space="preserve">All 30 teams in the NBA were contained across every source file; thus no teams were dropped from the final output. The final output of merging the 3 DataFrames is a csv file (nba_clutch_merged.csv) containing 30 rows and 33 columns listing Clutch and Regular Season Statistics for the 2024-25 season side by side.</w:t>
      </w: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3.4 Feature Engineering and Transformations</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One derived variable was created in </w:t>
      </w:r>
      <w:r w:rsidDel="00000000" w:rsidR="00000000" w:rsidRPr="00000000">
        <w:rPr>
          <w:rFonts w:ascii="Courier New" w:cs="Courier New" w:eastAsia="Courier New" w:hAnsi="Courier New"/>
          <w:sz w:val="20"/>
          <w:szCs w:val="20"/>
          <w:rtl w:val="0"/>
        </w:rPr>
        <w:t xml:space="preserve">rq1_plots.py</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1D">
      <w:pPr>
        <w:spacing w:after="120" w:lineRule="auto"/>
        <w:jc w:val="center"/>
        <w:rPr/>
      </w:pPr>
      <w:r w:rsidDel="00000000" w:rsidR="00000000" w:rsidRPr="00000000">
        <w:rPr>
          <w:rFonts w:ascii="Gungsuh" w:cs="Gungsuh" w:eastAsia="Gungsuh" w:hAnsi="Gungsuh"/>
          <w:i w:val="1"/>
          <w:iCs w:val="1"/>
          <w:sz w:val="20"/>
          <w:szCs w:val="20"/>
          <w:rtl w:val="0"/>
        </w:rPr>
        <w:t xml:space="preserve">clutch_minus_reg_win_pct  =  clutch_win_pct − reg_win_pct</w:t>
      </w: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Fonts w:ascii="Cardo" w:cs="Cardo" w:eastAsia="Cardo" w:hAnsi="Cardo"/>
          <w:rtl w:val="0"/>
        </w:rPr>
        <w:t xml:space="preserve">When analyzing whether a team has been successful in clutch situations, a positive number indicates that they won more close calls than they typically would based on the overall performance of their team whereas a negative value would mean that the team’s winning total is lower than what would normally be expected given their overall successes and failures. This figure serves as the basis for the bar chart in Figure 2 (RQ1).</w:t>
        <w:br w:type="textWrapping"/>
        <w:t xml:space="preserve">Several plotting scripts also applied a short-name mapping dictionary (e.g., "Oklahoma City Thunder" → "Thunder") via .replace(short_names) before plotting, because full team names caused heavy label overlap in early drafts of the scatter and bar charts. The RQ2 dot plot and all three RQ3 scripts filtered the dataset to the top 10 (or bottom 10) teams by clutch win percentage using .sort_values("clutch_win_pct", ascending=False).head(10), then re-sorted within each group from lowest to highest so that the charts read intuitively from bottom to top.</w:t>
      </w:r>
    </w:p>
    <w:p w:rsidR="00000000" w:rsidDel="00000000" w:rsidP="00000000" w:rsidRDefault="00000000" w:rsidRPr="00000000" w14:paraId="0000001F">
      <w:pPr>
        <w:pStyle w:val="Heading2"/>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3.5 Correctness and Justification of Statistical Methods</w:t>
      </w: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tl w:val="0"/>
        </w:rPr>
        <w:t xml:space="preserve">RQ2 used an 11 × 11 Pearson correlation matrix to determine the pairwise correlation between clutch win percentage (clutch_win_pct) and the ten clutch-time statistics detailed in Table 1: clutch_fg_pct, clutch_3p_pct, clutch_ft_pct, clutch_efg_pct, clutch_tov, clutch_tov_pct, clutch_reb, clutch_orb_pct, clutch_ft_rate, and clutch_fta. Pearson was chosen, because it measures the strength of a linear relationship between two continuous variables – exactly what we wanted to quantify: which clutch statistics varied linearly with clutch win percentage.</w:t>
      </w:r>
    </w:p>
    <w:p w:rsidR="00000000" w:rsidDel="00000000" w:rsidP="00000000" w:rsidRDefault="00000000" w:rsidRPr="00000000" w14:paraId="00000021">
      <w:pPr>
        <w:spacing w:after="160" w:line="276" w:lineRule="auto"/>
        <w:jc w:val="both"/>
        <w:rPr/>
      </w:pPr>
      <w:r w:rsidDel="00000000" w:rsidR="00000000" w:rsidRPr="00000000">
        <w:rPr>
          <w:rtl w:val="0"/>
        </w:rPr>
        <w:t xml:space="preserve">Because all eleven variables are continuous (either as percentages or as averages per game), the measurement level of each variable met the requirement for this analysis.</w:t>
      </w:r>
    </w:p>
    <w:p w:rsidR="00000000" w:rsidDel="00000000" w:rsidP="00000000" w:rsidRDefault="00000000" w:rsidRPr="00000000" w14:paraId="00000022">
      <w:pPr>
        <w:spacing w:after="160" w:line="276" w:lineRule="auto"/>
        <w:jc w:val="both"/>
        <w:rPr/>
      </w:pPr>
      <w:r w:rsidDel="00000000" w:rsidR="00000000" w:rsidRPr="00000000">
        <w:rPr>
          <w:rtl w:val="0"/>
        </w:rPr>
        <w:t xml:space="preserve">To validate the linearity assumption, we created scatterplots of the two variables with the strongest linear correlations (clutch eFG% versus clutch win percentage [Figure 4] and clutch eFG% versus clutch TOV% [Figure 5]) and both of them exhibited an approximate linearity without obvious curvature.</w:t>
      </w:r>
    </w:p>
    <w:p w:rsidR="00000000" w:rsidDel="00000000" w:rsidP="00000000" w:rsidRDefault="00000000" w:rsidRPr="00000000" w14:paraId="00000023">
      <w:pPr>
        <w:spacing w:after="160" w:line="276" w:lineRule="auto"/>
        <w:jc w:val="both"/>
        <w:rPr/>
      </w:pPr>
      <w:r w:rsidDel="00000000" w:rsidR="00000000" w:rsidRPr="00000000">
        <w:rPr>
          <w:rtl w:val="0"/>
        </w:rPr>
        <w:t xml:space="preserve">In addition, each variable was examined for extreme outliers that could have inflated or deflated Pearson's r. No single team had values that were so far removed from the other teams' values that they could have biased the results.</w:t>
      </w:r>
    </w:p>
    <w:p w:rsidR="00000000" w:rsidDel="00000000" w:rsidP="00000000" w:rsidRDefault="00000000" w:rsidRPr="00000000" w14:paraId="00000024">
      <w:pPr>
        <w:spacing w:after="160" w:line="276" w:lineRule="auto"/>
        <w:jc w:val="both"/>
        <w:rPr/>
      </w:pPr>
      <w:r w:rsidDel="00000000" w:rsidR="00000000" w:rsidRPr="00000000">
        <w:rPr>
          <w:rtl w:val="0"/>
        </w:rPr>
        <w:t xml:space="preserve">Spearman's rank would have been a valid alternative if the relationship between two variables was monotonic; neither of the two issues (monotonicity; extreme outliers) was evident in our scatterplots. Thus, when selecting a method to measure the relationship between each clutch statistic and clutch win percentage, Pearson provided the maximum amount of information per data point because it was not only measuring whether the data move in the same direction but also how closely clustered the data were around a linear trend.</w:t>
      </w:r>
    </w:p>
    <w:p w:rsidR="00000000" w:rsidDel="00000000" w:rsidP="00000000" w:rsidRDefault="00000000" w:rsidRPr="00000000" w14:paraId="00000025">
      <w:pPr>
        <w:spacing w:after="160" w:line="276" w:lineRule="auto"/>
        <w:jc w:val="both"/>
        <w:rPr/>
      </w:pPr>
      <w:r w:rsidDel="00000000" w:rsidR="00000000" w:rsidRPr="00000000">
        <w:rPr>
          <w:rtl w:val="0"/>
        </w:rPr>
        <w:t xml:space="preserve">Limitations: Because there are only n = 30 teams, the correlations produced should be viewed as descriptive summary statistics representing the data from the current season, rather than as inferential evidence applicable to all future seasons beyond the 2024-25 season. We did not conduct hypothesis testing on individual correlation coefficients nor did we fit a regression predictive model because thirty observations do not provide sufficient power for reliable regression with multiple predictor variables. Therefore, the heatmap and subsequent scatterplots are intended solely for exploratory analysis of the various factors that stand out rather than for making formal causal claims.</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3.6 Visualization Design</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All nine figures were produced with matplotlib across six Python scripts (Table 2). Below is the rationale for each chart type.</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Scatterplots (Figures 1 and 4). </w:t>
      </w:r>
      <w:r w:rsidDel="00000000" w:rsidR="00000000" w:rsidRPr="00000000">
        <w:rPr>
          <w:rtl w:val="0"/>
        </w:rPr>
        <w:t xml:space="preserve">The most logical method of analyzing the connection between two continuous variables is depicted in scatter plots. The first research question's (RQ1) scatter of regular season win% versus clutch win% illustrated quickly how they are related (Figure 1). The second research question's (RQ2) scatter of clutch eFG% versus clutch win% serves two purposes: (a) both items exhibit a positive correlation based upon their respective graphic heatmaps and (b) the scatter plot data allow for an approximate linearity check prior to being interpreted using the Pearson coefficient (Figure 4). Each team abbreviation label was offset from their respective scatter point to minimize overlaps among the scatter points.</w:t>
      </w:r>
    </w:p>
    <w:p w:rsidR="00000000" w:rsidDel="00000000" w:rsidP="00000000" w:rsidRDefault="00000000" w:rsidRPr="00000000" w14:paraId="00000029">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Bar chart (Figure 2). </w:t>
      </w:r>
      <w:r w:rsidDel="00000000" w:rsidR="00000000" w:rsidRPr="00000000">
        <w:rPr>
          <w:rtl w:val="0"/>
        </w:rPr>
        <w:t xml:space="preserve">Every team has exactly one signed value (clutch_minus_reg_win_pct), and we would like all 30 of them to be presented in order of ranking. The zero line (plt.axhline(0)) will help to visualize which teams have performed above or below their expected performance in clutch situations by allowing an easy reference point. Teams are presented in order of the difference in value so when looking at the visual ranking from left to right, teams will be sorted according to these values from highest to lowest.</w:t>
      </w:r>
    </w:p>
    <w:p w:rsidR="00000000" w:rsidDel="00000000" w:rsidP="00000000" w:rsidRDefault="00000000" w:rsidRPr="00000000" w14:paraId="0000002A">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Heatmap (Figure 3). </w:t>
      </w:r>
      <w:r w:rsidDel="00000000" w:rsidR="00000000" w:rsidRPr="00000000">
        <w:rPr>
          <w:rtl w:val="0"/>
        </w:rPr>
        <w:t xml:space="preserve">The entire 11 by 11 Pearson correlation matrix uses color-coded cells and numeric annotations to present the matrix. The matrix represents an exploratory overview of the data; therefore, you can see where certain strong positive or negative correlations might occur simply by looking at the color gradient of each cell before referring to its actual coefficient value. The representation of each coefficient value is done using plt.imshow(corr, aspect="auto"); therefore, we created a nested for loop to print the coefficient value inside of each cell.</w:t>
      </w:r>
    </w:p>
    <w:p w:rsidR="00000000" w:rsidDel="00000000" w:rsidP="00000000" w:rsidRDefault="00000000" w:rsidRPr="00000000" w14:paraId="0000002B">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Quadrant plot (Figure 5). </w:t>
      </w:r>
      <w:r w:rsidDel="00000000" w:rsidR="00000000" w:rsidRPr="00000000">
        <w:rPr>
          <w:rtl w:val="0"/>
        </w:rPr>
        <w:t xml:space="preserve">This plot depicts the scatter plot of clutch_efg_pct and clutch_tov_pct with reference lines at each sample mean, which allows teams to be placed in four different quadrants based on whether they are above or below the league average in both of these dimensions at the same time. These axes were selected due to their being determined by the heat map as being the greatest positive and negative correlations with clutch win percentage. Note: the quadrants were created using sample means (not true fixed thresholds) so that they accurately represent the distribution of this year’s data.</w:t>
      </w:r>
    </w:p>
    <w:p w:rsidR="00000000" w:rsidDel="00000000" w:rsidP="00000000" w:rsidRDefault="00000000" w:rsidRPr="00000000" w14:paraId="0000002C">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Dot plot (Figure 6). </w:t>
      </w:r>
      <w:r w:rsidDel="00000000" w:rsidR="00000000" w:rsidRPr="00000000">
        <w:rPr>
          <w:rtl w:val="0"/>
        </w:rPr>
        <w:t xml:space="preserve">Two side-by-side panels were created (plt.subplots(1, 2, sharex=True)) for the 10 best and 10 worst clutch teams showing the three variables of clutch eFG%, clutch TO%, and clutch FT% using a common horizontal axis. Sharing the horizontal axis is essential for the two panels because without that shared axis, the two panels could use different scales and make it impossible to accurately compare where each dot is located on the horizontal axis across the two groups. A dot plot was chosen instead of a grouped bar chart because if you represented three variables among ten teams, this would create thirty bars for each panel which would cause the groups to be more difficult to visually segment from each other.</w:t>
      </w:r>
    </w:p>
    <w:p w:rsidR="00000000" w:rsidDel="00000000" w:rsidP="00000000" w:rsidRDefault="00000000" w:rsidRPr="00000000" w14:paraId="0000002D">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Slope charts (Figures 7 and 9). </w:t>
      </w:r>
      <w:r w:rsidDel="00000000" w:rsidR="00000000" w:rsidRPr="00000000">
        <w:rPr>
          <w:rtl w:val="0"/>
        </w:rPr>
        <w:t xml:space="preserve">Each team’s regular season value is linked to its clutch value through a line, so slope direction indicates whether performance has improved or declined and degree of slope indicates magnitude of improvement or decline. Compared with using paired bars for comparing a team against itself over two contexts, utilizing lines allows for more efficient tracking of directionally-related information as it is more natural for the eye to monitor a line than to compare the height of two separate data bars. The charts were created as plt.plot([0,1],[row[reg_col],row[clutch_col]]) within rq3_plots.py inside the iterrows loop and labels were placed at x=1.03 which is just outside the clutch end point.</w:t>
      </w:r>
    </w:p>
    <w:p w:rsidR="00000000" w:rsidDel="00000000" w:rsidP="00000000" w:rsidRDefault="00000000" w:rsidRPr="00000000" w14:paraId="0000002E">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Dumbbell plot (Figure 8). </w:t>
      </w:r>
      <w:r w:rsidDel="00000000" w:rsidR="00000000" w:rsidRPr="00000000">
        <w:rPr>
          <w:rtl w:val="0"/>
        </w:rPr>
        <w:t xml:space="preserve">One reason that the slope chart is displayed horizontally rather than vertically was because the change in magnitude and spread from regular-season to clutch play for three-point shooting is much greater than for field goal and free throw shooting, so there is more room for display of the range of values. The circles represent regular-season values, while the diamonds (marker = "D") signify clutch values, which allow for the ability to identify endpoints by their shape alone, and not by colour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2F">
      <w:pPr>
        <w:spacing w:after="100" w:before="200" w:lineRule="auto"/>
        <w:rPr/>
      </w:pPr>
      <w:r w:rsidDel="00000000" w:rsidR="00000000" w:rsidRPr="00000000">
        <w:rPr>
          <w:rFonts w:ascii="Times New Roman" w:cs="Times New Roman" w:eastAsia="Times New Roman" w:hAnsi="Times New Roman"/>
          <w:b w:val="1"/>
          <w:bCs w:val="1"/>
          <w:i w:val="1"/>
          <w:iCs w:val="1"/>
          <w:sz w:val="20"/>
          <w:szCs w:val="20"/>
          <w:rtl w:val="0"/>
        </w:rPr>
        <w:t xml:space="preserve">Table 2. </w:t>
      </w:r>
      <w:r w:rsidDel="00000000" w:rsidR="00000000" w:rsidRPr="00000000">
        <w:rPr>
          <w:rFonts w:ascii="Times New Roman" w:cs="Times New Roman" w:eastAsia="Times New Roman" w:hAnsi="Times New Roman"/>
          <w:i w:val="1"/>
          <w:iCs w:val="1"/>
          <w:sz w:val="20"/>
          <w:szCs w:val="20"/>
          <w:rtl w:val="0"/>
        </w:rPr>
        <w:t xml:space="preserve">Summary of all figures, source scripts, and associated research questions.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3160"/>
        <w:gridCol w:w="2800"/>
        <w:gridCol w:w="1000"/>
        <w:tblGridChange w:id="0">
          <w:tblGrid>
            <w:gridCol w:w="700"/>
            <w:gridCol w:w="1700"/>
            <w:gridCol w:w="3160"/>
            <w:gridCol w:w="2800"/>
            <w:gridCol w:w="1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030">
            <w:pPr>
              <w:spacing w:after="0" w:lineRule="auto"/>
              <w:rPr/>
            </w:pPr>
            <w:r w:rsidDel="00000000" w:rsidR="00000000" w:rsidRPr="00000000">
              <w:rPr>
                <w:rFonts w:ascii="Times New Roman" w:cs="Times New Roman" w:eastAsia="Times New Roman" w:hAnsi="Times New Roman"/>
                <w:b w:val="1"/>
                <w:bCs w:val="1"/>
                <w:sz w:val="20"/>
                <w:szCs w:val="20"/>
                <w:rtl w:val="0"/>
              </w:rPr>
              <w:t xml:space="preserve">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031">
            <w:pPr>
              <w:spacing w:after="0" w:lineRule="auto"/>
              <w:rPr/>
            </w:pPr>
            <w:r w:rsidDel="00000000" w:rsidR="00000000" w:rsidRPr="00000000">
              <w:rPr>
                <w:rFonts w:ascii="Times New Roman" w:cs="Times New Roman" w:eastAsia="Times New Roman" w:hAnsi="Times New Roman"/>
                <w:b w:val="1"/>
                <w:bCs w:val="1"/>
                <w:sz w:val="20"/>
                <w:szCs w:val="20"/>
                <w:rtl w:val="0"/>
              </w:rPr>
              <w:t xml:space="preserve">Chart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032">
            <w:pPr>
              <w:spacing w:after="0" w:lineRule="auto"/>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033">
            <w:pPr>
              <w:spacing w:after="0" w:lineRule="auto"/>
              <w:rPr/>
            </w:pPr>
            <w:r w:rsidDel="00000000" w:rsidR="00000000" w:rsidRPr="00000000">
              <w:rPr>
                <w:rFonts w:ascii="Times New Roman" w:cs="Times New Roman" w:eastAsia="Times New Roman" w:hAnsi="Times New Roman"/>
                <w:b w:val="1"/>
                <w:bCs w:val="1"/>
                <w:sz w:val="20"/>
                <w:szCs w:val="20"/>
                <w:rtl w:val="0"/>
              </w:rPr>
              <w:t xml:space="preserv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Mar>
              <w:top w:w="40.0" w:type="dxa"/>
              <w:left w:w="80.0" w:type="dxa"/>
              <w:bottom w:w="40.0" w:type="dxa"/>
              <w:right w:w="80.0" w:type="dxa"/>
            </w:tcMar>
          </w:tcPr>
          <w:p w:rsidR="00000000" w:rsidDel="00000000" w:rsidP="00000000" w:rsidRDefault="00000000" w:rsidRPr="00000000" w14:paraId="00000034">
            <w:pPr>
              <w:spacing w:after="0" w:lineRule="auto"/>
              <w:rPr/>
            </w:pPr>
            <w:r w:rsidDel="00000000" w:rsidR="00000000" w:rsidRPr="00000000">
              <w:rPr>
                <w:rFonts w:ascii="Times New Roman" w:cs="Times New Roman" w:eastAsia="Times New Roman" w:hAnsi="Times New Roman"/>
                <w:b w:val="1"/>
                <w:bCs w:val="1"/>
                <w:sz w:val="20"/>
                <w:szCs w:val="20"/>
                <w:rtl w:val="0"/>
              </w:rPr>
              <w:t xml:space="preserve">RQ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Scatter plot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Reg-season win% vs clutch win%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rq1_plots.py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Bar 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Clutch win% minus reg-season win%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rq1_plots.py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Heatmap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Pearson correlation — 11 clutch 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rq2_plots.py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Scatter plot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Clutch eFG% vs clutch win%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rq2_scatter_quadrant_plots.py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Quadrant plot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Clutch eFG% vs clutch TOV% with mean lines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rq2_scatter_quadrant_plots.py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Dot plot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Top 10 vs bottom 10 — eFG%, TOV%, 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rq2_dot_plot.py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2">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3">
            <w:pPr>
              <w:spacing w:after="0" w:lineRule="auto"/>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4">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Slope 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5">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Reg-season vs clutch FG% — top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6">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rq3_plots.py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7">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8">
            <w:pPr>
              <w:spacing w:after="0" w:lineRule="auto"/>
              <w:rPr/>
            </w:pPr>
            <w:r w:rsidDel="00000000" w:rsidR="00000000" w:rsidRPr="00000000">
              <w:rPr>
                <w:rFonts w:ascii="Times New Roman" w:cs="Times New Roman" w:eastAsia="Times New Roman" w:hAnsi="Times New Roman"/>
                <w:b w:val="0"/>
                <w:bCs w:val="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9">
            <w:pPr>
              <w:spacing w:after="0" w:lineRule="auto"/>
              <w:rPr/>
            </w:pPr>
            <w:r w:rsidDel="00000000" w:rsidR="00000000" w:rsidRPr="00000000">
              <w:rPr>
                <w:rFonts w:ascii="Times New Roman" w:cs="Times New Roman" w:eastAsia="Times New Roman" w:hAnsi="Times New Roman"/>
                <w:b w:val="0"/>
                <w:bCs w:val="0"/>
                <w:sz w:val="20"/>
                <w:szCs w:val="20"/>
                <w:rtl w:val="0"/>
              </w:rPr>
              <w:t xml:space="preserve">Dumbbell plot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A">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Reg-season vs clutch 3P% — top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B">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rq3_3pct_plot.py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C">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D">
            <w:pPr>
              <w:spacing w:after="0" w:lineRule="auto"/>
              <w:rPr/>
            </w:pPr>
            <w:r w:rsidDel="00000000" w:rsidR="00000000" w:rsidRPr="00000000">
              <w:rPr>
                <w:rFonts w:ascii="Times New Roman" w:cs="Times New Roman" w:eastAsia="Times New Roman" w:hAnsi="Times New Roman"/>
                <w:b w:val="0"/>
                <w:bCs w:val="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E">
            <w:pPr>
              <w:spacing w:after="0" w:lineRule="auto"/>
              <w:rPr/>
            </w:pPr>
            <w:r w:rsidDel="00000000" w:rsidR="00000000" w:rsidRPr="00000000">
              <w:rPr>
                <w:rFonts w:ascii="Times New Roman" w:cs="Times New Roman" w:eastAsia="Times New Roman" w:hAnsi="Times New Roman"/>
                <w:b w:val="0"/>
                <w:bCs w:val="0"/>
                <w:sz w:val="20"/>
                <w:szCs w:val="20"/>
                <w:rtl w:val="0"/>
              </w:rPr>
              <w:t xml:space="preserve">Slope 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5F">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Reg-season vs clutch FT% — top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60">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rq3_plots.py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61">
            <w:pPr>
              <w:spacing w:after="0" w:lineRule="auto"/>
              <w:rPr/>
            </w:pPr>
            <w:r w:rsidDel="00000000" w:rsidR="00000000" w:rsidRPr="00000000">
              <w:rPr>
                <w:rFonts w:ascii="Times New Roman" w:cs="Times New Roman" w:eastAsia="Times New Roman" w:hAnsi="Times New Roman"/>
                <w:b w:val="0"/>
                <w:bCs w:val="0"/>
                <w:sz w:val="20"/>
                <w:szCs w:val="20"/>
                <w:rtl w:val="0"/>
              </w:rPr>
              <w:t xml:space="preserve">RQ3</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