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51E3E" w14:textId="020FEA34" w:rsidR="002D10E4" w:rsidRDefault="00353C70" w:rsidP="007A4819">
      <w:pPr>
        <w:pStyle w:val="Heading1"/>
      </w:pPr>
      <w:r>
        <w:t>EDA</w:t>
      </w:r>
      <w:r w:rsidR="007A4819">
        <w:t>:</w:t>
      </w:r>
    </w:p>
    <w:p w14:paraId="7B24AD93" w14:textId="77777777" w:rsidR="001028E8" w:rsidRDefault="001028E8" w:rsidP="001028E8"/>
    <w:p w14:paraId="01805FA5" w14:textId="77777777" w:rsidR="001028E8" w:rsidRDefault="001028E8" w:rsidP="001028E8"/>
    <w:p w14:paraId="59FF33FC" w14:textId="61AE7DF9" w:rsidR="001028E8" w:rsidRDefault="001028E8" w:rsidP="001028E8">
      <w:r w:rsidRPr="001028E8">
        <w:rPr>
          <w:noProof/>
        </w:rPr>
        <w:drawing>
          <wp:inline distT="0" distB="0" distL="0" distR="0" wp14:anchorId="7E23AC9E" wp14:editId="5B7F7E77">
            <wp:extent cx="5731510" cy="2821940"/>
            <wp:effectExtent l="0" t="0" r="2540" b="0"/>
            <wp:docPr id="133549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2981" name=""/>
                    <pic:cNvPicPr/>
                  </pic:nvPicPr>
                  <pic:blipFill>
                    <a:blip r:embed="rId5"/>
                    <a:stretch>
                      <a:fillRect/>
                    </a:stretch>
                  </pic:blipFill>
                  <pic:spPr>
                    <a:xfrm>
                      <a:off x="0" y="0"/>
                      <a:ext cx="5731510" cy="2821940"/>
                    </a:xfrm>
                    <a:prstGeom prst="rect">
                      <a:avLst/>
                    </a:prstGeom>
                  </pic:spPr>
                </pic:pic>
              </a:graphicData>
            </a:graphic>
          </wp:inline>
        </w:drawing>
      </w:r>
    </w:p>
    <w:p w14:paraId="458430DE" w14:textId="77777777" w:rsidR="00015AC5" w:rsidRDefault="00015AC5" w:rsidP="001028E8"/>
    <w:p w14:paraId="632B874C" w14:textId="22A2632D" w:rsidR="00015AC5" w:rsidRDefault="00015AC5" w:rsidP="00015AC5">
      <w:r>
        <w:t>The distributions of the selected c- features appear to be approximately normal (bell-shaped) with some slight deviations. This suggests that cell viabilities in these features follow a common pattern, and extreme values are less frequent.</w:t>
      </w:r>
      <w:r w:rsidR="00185388">
        <w:t xml:space="preserve"> </w:t>
      </w:r>
      <w:r>
        <w:t>The histograms show that the peak (mode) for each feature is around 0, which could be a result of the data normalization process applied to the dataset. There is a noticeable range in the x-axis values for these features, spanning from around -10 to 6, high negative values indicate a high number of dead cells, while high positive values indicate a high number of living cells. Each feature has a slightly different spread, as seen in the width of the histograms. This may indicate varying levels of sensitivity or response to the treatments across different cell viabilities.</w:t>
      </w:r>
    </w:p>
    <w:p w14:paraId="6B4298B2" w14:textId="77777777" w:rsidR="00015AC5" w:rsidRDefault="00015AC5" w:rsidP="00015AC5"/>
    <w:p w14:paraId="20936498" w14:textId="586FD023" w:rsidR="00015AC5" w:rsidRDefault="00015AC5" w:rsidP="00015AC5">
      <w:r w:rsidRPr="00015AC5">
        <w:rPr>
          <w:noProof/>
        </w:rPr>
        <w:lastRenderedPageBreak/>
        <w:drawing>
          <wp:inline distT="0" distB="0" distL="0" distR="0" wp14:anchorId="5490BBF6" wp14:editId="3BB8F133">
            <wp:extent cx="5731510" cy="2965450"/>
            <wp:effectExtent l="0" t="0" r="2540" b="6350"/>
            <wp:docPr id="409054840"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4840" name="Picture 1" descr="Chart, line chart, histogram&#10;&#10;Description automatically generated"/>
                    <pic:cNvPicPr/>
                  </pic:nvPicPr>
                  <pic:blipFill>
                    <a:blip r:embed="rId6"/>
                    <a:stretch>
                      <a:fillRect/>
                    </a:stretch>
                  </pic:blipFill>
                  <pic:spPr>
                    <a:xfrm>
                      <a:off x="0" y="0"/>
                      <a:ext cx="5731510" cy="2965450"/>
                    </a:xfrm>
                    <a:prstGeom prst="rect">
                      <a:avLst/>
                    </a:prstGeom>
                  </pic:spPr>
                </pic:pic>
              </a:graphicData>
            </a:graphic>
          </wp:inline>
        </w:drawing>
      </w:r>
    </w:p>
    <w:p w14:paraId="36B105DC" w14:textId="48BA7FA8" w:rsidR="00015AC5" w:rsidRDefault="00015AC5" w:rsidP="00015AC5">
      <w:r>
        <w:t xml:space="preserve">The above KDE </w:t>
      </w:r>
      <w:r w:rsidRPr="00015AC5">
        <w:t>plot helps visualize the impact of treatments on cell viability for a specific feature (c-30) by comparing it to control samples. The differences in the distributions provide insights into how various treatments may affect cell viability across samples.</w:t>
      </w:r>
      <w:r>
        <w:t xml:space="preserve"> The treated samples exhibit a broader and slightly more evenly distributed range of cell viability values compared to the control samples. This indicates that the treatment has a more diverse effect on cell viability in various samples. The control samples show a sharp peak around 0, suggesting that in the absence of treatment, cell viability tends to remain stable and less variable. The treated samples' distribution reveals a wider spread, with more extreme values on both the positive and negative sides. This suggests that some treatments might have a significant impact on cell viability, causing either an increase in the number of living cells or a decrease leading to cell death.</w:t>
      </w:r>
    </w:p>
    <w:p w14:paraId="632FDADF" w14:textId="77777777" w:rsidR="00015AC5" w:rsidRDefault="00015AC5" w:rsidP="00015AC5"/>
    <w:p w14:paraId="36475BF6" w14:textId="37D110B8" w:rsidR="00015AC5" w:rsidRDefault="00015AC5" w:rsidP="00015AC5">
      <w:r w:rsidRPr="00015AC5">
        <w:rPr>
          <w:noProof/>
        </w:rPr>
        <w:drawing>
          <wp:inline distT="0" distB="0" distL="0" distR="0" wp14:anchorId="6A7B39AF" wp14:editId="70999BCE">
            <wp:extent cx="5731510" cy="2893695"/>
            <wp:effectExtent l="0" t="0" r="2540" b="1905"/>
            <wp:docPr id="156845681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6818" name="Picture 1" descr="Chart, line chart&#10;&#10;Description automatically generated"/>
                    <pic:cNvPicPr/>
                  </pic:nvPicPr>
                  <pic:blipFill>
                    <a:blip r:embed="rId7"/>
                    <a:stretch>
                      <a:fillRect/>
                    </a:stretch>
                  </pic:blipFill>
                  <pic:spPr>
                    <a:xfrm>
                      <a:off x="0" y="0"/>
                      <a:ext cx="5731510" cy="2893695"/>
                    </a:xfrm>
                    <a:prstGeom prst="rect">
                      <a:avLst/>
                    </a:prstGeom>
                  </pic:spPr>
                </pic:pic>
              </a:graphicData>
            </a:graphic>
          </wp:inline>
        </w:drawing>
      </w:r>
    </w:p>
    <w:p w14:paraId="72D71F4E" w14:textId="77777777" w:rsidR="00015AC5" w:rsidRDefault="00015AC5" w:rsidP="00015AC5"/>
    <w:p w14:paraId="2A2CA980" w14:textId="2C4555B1" w:rsidR="00015AC5" w:rsidRDefault="005D6E79" w:rsidP="00015AC5">
      <w:r w:rsidRPr="005D6E79">
        <w:lastRenderedPageBreak/>
        <w:t>The distribution of cell viability values varies across different treatment durations. This suggests that treatment time has a noticeable effect on cell viability for the selected feature.</w:t>
      </w:r>
      <w:r>
        <w:t xml:space="preserve"> T</w:t>
      </w:r>
      <w:r w:rsidRPr="005D6E79">
        <w:t>he plot illustrating the impact of treatment time on cell viability for a specific feature reveals that treatment duration has a considerable influence on cell viability. The observed variability in cell viability values across different treatment times emphasizes the need to account for treatment duration when analyzing the effects of treatments and developing predictive models.</w:t>
      </w:r>
    </w:p>
    <w:p w14:paraId="0806C76F" w14:textId="77777777" w:rsidR="005D6E79" w:rsidRDefault="005D6E79" w:rsidP="00015AC5"/>
    <w:p w14:paraId="2A613B53" w14:textId="7016082B" w:rsidR="005D6E79" w:rsidRDefault="005D6E79" w:rsidP="00015AC5">
      <w:r w:rsidRPr="005D6E79">
        <w:rPr>
          <w:noProof/>
        </w:rPr>
        <w:drawing>
          <wp:inline distT="0" distB="0" distL="0" distR="0" wp14:anchorId="1844442C" wp14:editId="672B07CC">
            <wp:extent cx="5731510" cy="4288790"/>
            <wp:effectExtent l="0" t="0" r="2540" b="0"/>
            <wp:docPr id="13959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5581" name=""/>
                    <pic:cNvPicPr/>
                  </pic:nvPicPr>
                  <pic:blipFill>
                    <a:blip r:embed="rId8"/>
                    <a:stretch>
                      <a:fillRect/>
                    </a:stretch>
                  </pic:blipFill>
                  <pic:spPr>
                    <a:xfrm>
                      <a:off x="0" y="0"/>
                      <a:ext cx="5731510" cy="4288790"/>
                    </a:xfrm>
                    <a:prstGeom prst="rect">
                      <a:avLst/>
                    </a:prstGeom>
                  </pic:spPr>
                </pic:pic>
              </a:graphicData>
            </a:graphic>
          </wp:inline>
        </w:drawing>
      </w:r>
    </w:p>
    <w:p w14:paraId="474FC342" w14:textId="77777777" w:rsidR="005D6E79" w:rsidRDefault="005D6E79" w:rsidP="00015AC5"/>
    <w:p w14:paraId="15025D6B" w14:textId="2708A416" w:rsidR="005D6E79" w:rsidRDefault="005D6E79" w:rsidP="00015AC5">
      <w:r>
        <w:t>T</w:t>
      </w:r>
      <w:r w:rsidRPr="005D6E79">
        <w:t>he heatmap plot of the correlation between cell viability features in treated samples reveals a wide range of relationships, from strong positive to negative correlations. These correlations provide valuable insights into how cell viability features interact and respond to various treatments, which can help guide future analysis and model development.</w:t>
      </w:r>
    </w:p>
    <w:p w14:paraId="4F9F03CD" w14:textId="77777777" w:rsidR="0086400F" w:rsidRDefault="0086400F" w:rsidP="00015AC5"/>
    <w:p w14:paraId="1B4F69B5" w14:textId="2618ABB9" w:rsidR="0086400F" w:rsidRDefault="0086400F" w:rsidP="00015AC5">
      <w:r w:rsidRPr="0086400F">
        <w:rPr>
          <w:noProof/>
        </w:rPr>
        <w:lastRenderedPageBreak/>
        <w:drawing>
          <wp:inline distT="0" distB="0" distL="0" distR="0" wp14:anchorId="1B8097E6" wp14:editId="3A42E2B7">
            <wp:extent cx="5731510" cy="2813050"/>
            <wp:effectExtent l="0" t="0" r="2540" b="6350"/>
            <wp:docPr id="46795939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9391" name="Picture 1" descr="Chart, histogram&#10;&#10;Description automatically generated"/>
                    <pic:cNvPicPr/>
                  </pic:nvPicPr>
                  <pic:blipFill>
                    <a:blip r:embed="rId9"/>
                    <a:stretch>
                      <a:fillRect/>
                    </a:stretch>
                  </pic:blipFill>
                  <pic:spPr>
                    <a:xfrm>
                      <a:off x="0" y="0"/>
                      <a:ext cx="5731510" cy="2813050"/>
                    </a:xfrm>
                    <a:prstGeom prst="rect">
                      <a:avLst/>
                    </a:prstGeom>
                  </pic:spPr>
                </pic:pic>
              </a:graphicData>
            </a:graphic>
          </wp:inline>
        </w:drawing>
      </w:r>
    </w:p>
    <w:p w14:paraId="31003583" w14:textId="77777777" w:rsidR="0086400F" w:rsidRDefault="0086400F" w:rsidP="00015AC5"/>
    <w:p w14:paraId="73BB9687" w14:textId="6D3A975C" w:rsidR="0086400F" w:rsidRDefault="0086400F" w:rsidP="0086400F">
      <w:r>
        <w:t>The range of gene expression values is quite wide, spanning from significantly negative to positive values. This demonstrates that the dataset contains genes with varying degrees of activation or inhibition. The gene expression values seem to have a roughly symmetrical distribution around zero, suggesting that many genes have balanced expression levels, with some being upregulated (positive values) and others being downregulated (negative values). Certain genes exhibit a higher concentration of expression values close to zero, which could mean that they have a lower influence or less variation in expression across the samples. On the other hand, some genes have wider distributions, indicating a greater variability in their expression levels across different samples. These genes might be more sensitive to distinct treatments or experimental conditions.</w:t>
      </w:r>
    </w:p>
    <w:p w14:paraId="365A2CA9" w14:textId="262C6494" w:rsidR="00185388" w:rsidRPr="001028E8" w:rsidRDefault="00185388" w:rsidP="0086400F">
      <w:r w:rsidRPr="00185388">
        <w:rPr>
          <w:noProof/>
        </w:rPr>
        <w:lastRenderedPageBreak/>
        <w:drawing>
          <wp:inline distT="0" distB="0" distL="0" distR="0" wp14:anchorId="101B3FF6" wp14:editId="038F1196">
            <wp:extent cx="5731510" cy="3980815"/>
            <wp:effectExtent l="0" t="0" r="2540" b="635"/>
            <wp:docPr id="692864943"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64943" name="Picture 1" descr="A picture containing diagram&#10;&#10;Description automatically generated"/>
                    <pic:cNvPicPr/>
                  </pic:nvPicPr>
                  <pic:blipFill>
                    <a:blip r:embed="rId10"/>
                    <a:stretch>
                      <a:fillRect/>
                    </a:stretch>
                  </pic:blipFill>
                  <pic:spPr>
                    <a:xfrm>
                      <a:off x="0" y="0"/>
                      <a:ext cx="5731510" cy="3980815"/>
                    </a:xfrm>
                    <a:prstGeom prst="rect">
                      <a:avLst/>
                    </a:prstGeom>
                  </pic:spPr>
                </pic:pic>
              </a:graphicData>
            </a:graphic>
          </wp:inline>
        </w:drawing>
      </w:r>
    </w:p>
    <w:p w14:paraId="58BEE15D" w14:textId="17EF8BF6" w:rsidR="007A4819" w:rsidRDefault="007A4819" w:rsidP="007A4819">
      <w:r w:rsidRPr="007A4819">
        <w:rPr>
          <w:noProof/>
        </w:rPr>
        <w:drawing>
          <wp:inline distT="0" distB="0" distL="0" distR="0" wp14:anchorId="5BD91B61" wp14:editId="15ABB4DF">
            <wp:extent cx="5731510" cy="2986405"/>
            <wp:effectExtent l="0" t="0" r="2540" b="4445"/>
            <wp:docPr id="177390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6550" name=""/>
                    <pic:cNvPicPr/>
                  </pic:nvPicPr>
                  <pic:blipFill>
                    <a:blip r:embed="rId11"/>
                    <a:stretch>
                      <a:fillRect/>
                    </a:stretch>
                  </pic:blipFill>
                  <pic:spPr>
                    <a:xfrm>
                      <a:off x="0" y="0"/>
                      <a:ext cx="5731510" cy="2986405"/>
                    </a:xfrm>
                    <a:prstGeom prst="rect">
                      <a:avLst/>
                    </a:prstGeom>
                  </pic:spPr>
                </pic:pic>
              </a:graphicData>
            </a:graphic>
          </wp:inline>
        </w:drawing>
      </w:r>
    </w:p>
    <w:p w14:paraId="68918433" w14:textId="77777777" w:rsidR="007A4819" w:rsidRDefault="007A4819" w:rsidP="007A4819"/>
    <w:p w14:paraId="013D2E97" w14:textId="5F629154" w:rsidR="007A4819" w:rsidRDefault="00F62A47" w:rsidP="00F62A47">
      <w:r>
        <w:t>PCA effectively reduces the dimensionality of the gene expression dataset, allowing us to visualize the samples in a lower-dimensional space.</w:t>
      </w:r>
      <w:r w:rsidR="00796EAA">
        <w:t xml:space="preserve"> </w:t>
      </w:r>
      <w:r>
        <w:t>The first few principal components account for a significant proportion of the total variance in the dataset, indicating that they capture the most prominent patterns and trends in gene expression data. By plotting the samples according to their principal component scores, we can observe the separation between different experimental conditions or treatment groups. This suggests that PCA can help identify relationships and distinctions between various samples. Despite</w:t>
      </w:r>
      <w:r w:rsidR="00796EAA">
        <w:t>,</w:t>
      </w:r>
      <w:r>
        <w:t xml:space="preserve"> the dimensionality reduction, some overlap between </w:t>
      </w:r>
      <w:r>
        <w:lastRenderedPageBreak/>
        <w:t>groups might still be present, indicating that the first few principal components do not fully capture all the differences between samples. However, the separation achieved is still informative for a preliminary analysis.</w:t>
      </w:r>
    </w:p>
    <w:p w14:paraId="2D23BC82" w14:textId="77777777" w:rsidR="007A4819" w:rsidRDefault="007A4819" w:rsidP="00974524">
      <w:pPr>
        <w:pStyle w:val="Heading1"/>
      </w:pPr>
    </w:p>
    <w:p w14:paraId="5731A2D6" w14:textId="4B07D159" w:rsidR="007A4819" w:rsidRDefault="00974524" w:rsidP="00974524">
      <w:pPr>
        <w:pStyle w:val="Heading1"/>
      </w:pPr>
      <w:r>
        <w:t>Overview:</w:t>
      </w:r>
    </w:p>
    <w:p w14:paraId="1152EC0C" w14:textId="132BC8EA" w:rsidR="00974524" w:rsidRPr="00974524" w:rsidRDefault="00974524" w:rsidP="00974524">
      <w:r>
        <w:t>This report presents an analysis of the Mechanism of Action (MoA) dataset from the Lish-MoA Kaggle competition. The dataset contains gene expression and cell viability data for thousands of compounds tested in various conditions, along with information about their MoA.</w:t>
      </w:r>
      <w:r>
        <w:t xml:space="preserve"> </w:t>
      </w:r>
      <w:r>
        <w:t>The report includes an exploratory data analysis of the dataset, using visualizations and statistical summaries to gain insights into the relationships between the features and the MoA labels. The analysis also includes a Principal Component Analysis (PCA) to reduce the dimensionality of the gene expression data and visualize it in two dimensions.</w:t>
      </w:r>
      <w:r>
        <w:t xml:space="preserve"> </w:t>
      </w:r>
      <w:r>
        <w:t>The report then presents an ensemble model that combines Logistic Regression, Support Vector Machines (SVM), Random Forest, and XGBoost classifiers to predict the MoA labels of the compounds. The performance of the model is evaluated using accuracy scores on a validation set.</w:t>
      </w:r>
      <w:r>
        <w:t xml:space="preserve"> </w:t>
      </w:r>
      <w:r>
        <w:t>Overall, the report demonstrates the potential of machine learning models to predict the MoA of compounds based on gene expression and cell viability data, which could have important applications in drug discovery and development.</w:t>
      </w:r>
    </w:p>
    <w:p w14:paraId="204CFB42" w14:textId="77777777" w:rsidR="007A4819" w:rsidRDefault="007A4819" w:rsidP="007A4819"/>
    <w:p w14:paraId="441B3AB3" w14:textId="77777777" w:rsidR="007A4819" w:rsidRDefault="007A4819" w:rsidP="007A4819"/>
    <w:p w14:paraId="35C7F705" w14:textId="77777777" w:rsidR="007A4819" w:rsidRDefault="007A4819" w:rsidP="007A4819"/>
    <w:p w14:paraId="15C43E41" w14:textId="77777777" w:rsidR="007A4819" w:rsidRDefault="007A4819" w:rsidP="007A4819"/>
    <w:p w14:paraId="011767B2" w14:textId="77777777" w:rsidR="007A4819" w:rsidRDefault="007A4819" w:rsidP="007A4819"/>
    <w:p w14:paraId="4D1C0977" w14:textId="77777777" w:rsidR="007A4819" w:rsidRDefault="007A4819" w:rsidP="007A4819"/>
    <w:p w14:paraId="7855A284" w14:textId="77777777" w:rsidR="007A4819" w:rsidRDefault="007A4819" w:rsidP="007A4819"/>
    <w:p w14:paraId="6702D8F2" w14:textId="77777777" w:rsidR="007A4819" w:rsidRDefault="007A4819" w:rsidP="007A4819"/>
    <w:p w14:paraId="6D780B71" w14:textId="77777777" w:rsidR="007A4819" w:rsidRDefault="007A4819" w:rsidP="007A4819"/>
    <w:p w14:paraId="2B0A30D1" w14:textId="77777777" w:rsidR="007A4819" w:rsidRDefault="007A4819" w:rsidP="007A4819"/>
    <w:p w14:paraId="24CBD0A2" w14:textId="77777777" w:rsidR="007A4819" w:rsidRDefault="007A4819" w:rsidP="007A4819"/>
    <w:p w14:paraId="040649FD" w14:textId="77777777" w:rsidR="007A4819" w:rsidRDefault="007A4819" w:rsidP="007A4819"/>
    <w:p w14:paraId="450291BB" w14:textId="77777777" w:rsidR="007A4819" w:rsidRDefault="007A4819" w:rsidP="007A4819"/>
    <w:p w14:paraId="4BE3D6DC" w14:textId="77777777" w:rsidR="007A4819" w:rsidRDefault="007A4819" w:rsidP="007A4819"/>
    <w:p w14:paraId="3DF50F28" w14:textId="77777777" w:rsidR="007A4819" w:rsidRDefault="007A4819" w:rsidP="007A4819"/>
    <w:p w14:paraId="7FE108C8" w14:textId="77777777" w:rsidR="007A4819" w:rsidRPr="007A4819" w:rsidRDefault="007A4819" w:rsidP="007A4819"/>
    <w:sectPr w:rsidR="007A4819" w:rsidRPr="007A48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B91"/>
    <w:rsid w:val="00015AC5"/>
    <w:rsid w:val="001028E8"/>
    <w:rsid w:val="00185388"/>
    <w:rsid w:val="002D10E4"/>
    <w:rsid w:val="00353C70"/>
    <w:rsid w:val="00500EBC"/>
    <w:rsid w:val="005D6E79"/>
    <w:rsid w:val="00796EAA"/>
    <w:rsid w:val="007A4819"/>
    <w:rsid w:val="0086400F"/>
    <w:rsid w:val="00974524"/>
    <w:rsid w:val="00DA0B91"/>
    <w:rsid w:val="00F62A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F0727"/>
  <w15:chartTrackingRefBased/>
  <w15:docId w15:val="{676C038A-8B87-4AC2-8DF8-9EF54DC1E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8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81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64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D148E-3AB8-4099-95C9-70C10A538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6</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Purvi Jain</dc:creator>
  <cp:keywords/>
  <dc:description/>
  <cp:lastModifiedBy>Purvi Jain</cp:lastModifiedBy>
  <cp:revision>4</cp:revision>
  <dcterms:created xsi:type="dcterms:W3CDTF">2023-04-30T16:15:00Z</dcterms:created>
  <dcterms:modified xsi:type="dcterms:W3CDTF">2023-04-30T17:56:00Z</dcterms:modified>
</cp:coreProperties>
</file>