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C1C1E"/>
          <w:spacing w:val="140"/>
          <w:sz w:val="64"/>
          <w:szCs w:val="64"/>
        </w:rPr>
        <w:t xml:space="preserve">V M X</w:t>
      </w:r>
    </w:p>
    <w:p>
      <w:pPr>
        <w:spacing w:after="100" w:before="120"/>
        <w:jc w:val="center"/>
      </w:pPr>
      <w:r>
        <w:rPr>
          <w:rFonts w:ascii="Calibri" w:cs="Calibri" w:eastAsia="Calibri" w:hAnsi="Calibri"/>
          <w:b/>
          <w:bCs/>
          <w:color w:val="9C7A3C"/>
          <w:spacing w:val="60"/>
          <w:sz w:val="18"/>
          <w:szCs w:val="18"/>
        </w:rPr>
        <w:t xml:space="preserve">CRESCIMENTO PREVISÍVEL</w:t>
      </w:r>
    </w:p>
    <w:p>
      <w:pPr>
        <w:pBdr>
          <w:top w:val="single" w:color="9C7A3C" w:sz="6" w:space="14"/>
        </w:pBdr>
        <w:spacing w:after="900" w:before="900"/>
        <w:jc w:val="center"/>
      </w:pPr>
    </w:p>
    <w:p>
      <w:pPr>
        <w:spacing w:after="160"/>
        <w:jc w:val="center"/>
      </w:pPr>
      <w:r>
        <w:rPr>
          <w:rFonts w:ascii="Georgia" w:cs="Georgia" w:eastAsia="Georgia" w:hAnsi="Georgia"/>
          <w:b/>
          <w:bCs/>
          <w:color w:val="1C1C1E"/>
          <w:sz w:val="40"/>
          <w:szCs w:val="40"/>
        </w:rPr>
        <w:t xml:space="preserve">PROPOSTA COMERCIAL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B5B5B"/>
          <w:sz w:val="24"/>
          <w:szCs w:val="24"/>
        </w:rPr>
        <w:t xml:space="preserve">Sistema de Crescimento e Fidelização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B5B5B"/>
          <w:sz w:val="24"/>
          <w:szCs w:val="24"/>
        </w:rPr>
        <w:t xml:space="preserve">para Clínica de Estética Facial Premium</w:t>
      </w:r>
    </w:p>
    <w:p>
      <w:pPr>
        <w:spacing w:before="20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5B5B5B"/>
          <w:sz w:val="19"/>
          <w:szCs w:val="19"/>
        </w:rPr>
        <w:t xml:space="preserve">Preparado por VMX Consultoria de Inteligência Comercial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B5B5B"/>
          <w:sz w:val="19"/>
          <w:szCs w:val="19"/>
        </w:rPr>
        <w:t xml:space="preserve">Julho de 2026  ·  Validade da proposta: 15 dias</w:t>
      </w:r>
    </w:p>
    <w:p>
      <w:r>
        <w:br w:type="page"/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9C7A3C" w:sz="8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Resumo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A clínica atende hoje o público de estética facial premium, mas ainda não possui CRM, marketing ativo nem processo comercial estruturado. A receita depende de procedimentos avulsos: sem pipeline, sem follow-up e sem automação, a recorrência do paciente fica por conta da memória e não de um processo desenhado.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O objetivo definido para esta proposta é fidelização e recorrência — transformar a clínica de um modelo de “procedimento único” para um modelo de jornada contínua de manutenção facial, com investimento de mídia na faixa de R$ 3.000 a R$ 10.000/mês.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5B5B5B"/>
          <w:sz w:val="21"/>
          <w:szCs w:val="21"/>
        </w:rPr>
        <w:t xml:space="preserve">Esta proposta segue o VMX Growth System, metodologia proprietária da VMX, aplicada na ordem fixa: Diagnóstico → Posicionamento → Oferta → Marketing → Captação → Comercial → CRM → Automação → IA → Escala.</w:t>
      </w:r>
    </w:p>
    <w:p>
      <w:pPr>
        <w:pStyle w:val="Heading1"/>
        <w:pBdr>
          <w:bottom w:val="single" w:color="9C7A3C" w:sz="8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Escopo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Estrutura de entrega organizada pelas dez etapas obrigatórias do VMX Growth System — cada etapa depende da anterior e a ordem nunca é invertida.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9C7A3C"/>
          <w:sz w:val="23"/>
          <w:szCs w:val="23"/>
        </w:rPr>
        <w:t xml:space="preserve">1. </w:t>
      </w:r>
      <w:r>
        <w:rPr>
          <w:rFonts w:ascii="Georgia" w:cs="Georgia" w:eastAsia="Georgia" w:hAnsi="Georgia"/>
          <w:b/>
          <w:bCs/>
          <w:color w:val="1C1C1E"/>
          <w:sz w:val="23"/>
          <w:szCs w:val="23"/>
        </w:rPr>
        <w:t xml:space="preserve">Diagnóstico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Mapeamento completo da situação atual: mercado, posicionamento, oferta, marketing, comercial, CRM, processos, tecnologia e indicadores.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9C7A3C"/>
          <w:sz w:val="23"/>
          <w:szCs w:val="23"/>
        </w:rPr>
        <w:t xml:space="preserve">2. </w:t>
      </w:r>
      <w:r>
        <w:rPr>
          <w:rFonts w:ascii="Georgia" w:cs="Georgia" w:eastAsia="Georgia" w:hAnsi="Georgia"/>
          <w:b/>
          <w:bCs/>
          <w:color w:val="1C1C1E"/>
          <w:sz w:val="23"/>
          <w:szCs w:val="23"/>
        </w:rPr>
        <w:t xml:space="preserve">Posicionamento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ICP: mulheres de 30 a 55 anos, classe A/B, que já investem em harmonização facial, botox, preenchimento e skincare avançado, e valorizam exclusividade e resultado natural — não decidem por preço. Reposicionamento da clínica como referência em manutenção estética contínua, não em procedimento pontual.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9C7A3C"/>
          <w:sz w:val="23"/>
          <w:szCs w:val="23"/>
        </w:rPr>
        <w:t xml:space="preserve">3. </w:t>
      </w:r>
      <w:r>
        <w:rPr>
          <w:rFonts w:ascii="Georgia" w:cs="Georgia" w:eastAsia="Georgia" w:hAnsi="Georgia"/>
          <w:b/>
          <w:bCs/>
          <w:color w:val="1C1C1E"/>
          <w:sz w:val="23"/>
          <w:szCs w:val="23"/>
        </w:rPr>
        <w:t xml:space="preserve">Oferta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Plano de Manutenção Facial: protocolo recorrente trimestral ou semestral com benefícios de fidelidade (prioridade de agenda, desconto em procedimentos complementares). Oferta de entrada: avaliação facial diagnóstica paga, que qualifica o lead antes da venda consultiva.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9C7A3C"/>
          <w:sz w:val="23"/>
          <w:szCs w:val="23"/>
        </w:rPr>
        <w:t xml:space="preserve">4. </w:t>
      </w:r>
      <w:r>
        <w:rPr>
          <w:rFonts w:ascii="Georgia" w:cs="Georgia" w:eastAsia="Georgia" w:hAnsi="Georgia"/>
          <w:b/>
          <w:bCs/>
          <w:color w:val="1C1C1E"/>
          <w:sz w:val="23"/>
          <w:szCs w:val="23"/>
        </w:rPr>
        <w:t xml:space="preserve">Marketing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Conteúdo estruturado para gerar atenção, educar, criar autoridade, gerar desejo e converter. Landing page da avaliação diagnóstica com estrutura completa: headline, subheadline, prova, benefícios, oferta, CTA, objeções, garantia, FAQ e CTA final.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9C7A3C"/>
          <w:sz w:val="23"/>
          <w:szCs w:val="23"/>
        </w:rPr>
        <w:t xml:space="preserve">5. </w:t>
      </w:r>
      <w:r>
        <w:rPr>
          <w:rFonts w:ascii="Georgia" w:cs="Georgia" w:eastAsia="Georgia" w:hAnsi="Georgia"/>
          <w:b/>
          <w:bCs/>
          <w:color w:val="1C1C1E"/>
          <w:sz w:val="23"/>
          <w:szCs w:val="23"/>
        </w:rPr>
        <w:t xml:space="preserve">Captação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Tráfego pago segmentado por renda, interesse em estética e geolocalização, dentro da faixa de investimento de R$ 3.000 a R$ 10.000/mês — priorizando qualidade do lead sobre volume, coerente com o ICP premium.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9C7A3C"/>
          <w:sz w:val="23"/>
          <w:szCs w:val="23"/>
        </w:rPr>
        <w:t xml:space="preserve">6. </w:t>
      </w:r>
      <w:r>
        <w:rPr>
          <w:rFonts w:ascii="Georgia" w:cs="Georgia" w:eastAsia="Georgia" w:hAnsi="Georgia"/>
          <w:b/>
          <w:bCs/>
          <w:color w:val="1C1C1E"/>
          <w:sz w:val="23"/>
          <w:szCs w:val="23"/>
        </w:rPr>
        <w:t xml:space="preserve">Comercial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Venda consultiva: a proposta do Plano de Manutenção nunca é apresentada antes do diagnóstico. Script de atendimento estruturado para descobrir objetivos, problemas, urgência, autoridade, orçamento e impacto de cada paciente.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9C7A3C"/>
          <w:sz w:val="23"/>
          <w:szCs w:val="23"/>
        </w:rPr>
        <w:t xml:space="preserve">7. </w:t>
      </w:r>
      <w:r>
        <w:rPr>
          <w:rFonts w:ascii="Georgia" w:cs="Georgia" w:eastAsia="Georgia" w:hAnsi="Georgia"/>
          <w:b/>
          <w:bCs/>
          <w:color w:val="1C1C1E"/>
          <w:sz w:val="23"/>
          <w:szCs w:val="23"/>
        </w:rPr>
        <w:t xml:space="preserve">CRM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Pipeline: Lead → Avaliação agendada → Avaliação realizada → Proposta enviada → Plano fechado → Ativo (recorrência) → Renovação. Tags e campos personalizados: procedimento de interesse, protocolo em andamento, data da próxima sessão.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9C7A3C"/>
          <w:sz w:val="23"/>
          <w:szCs w:val="23"/>
        </w:rPr>
        <w:t xml:space="preserve">8. </w:t>
      </w:r>
      <w:r>
        <w:rPr>
          <w:rFonts w:ascii="Georgia" w:cs="Georgia" w:eastAsia="Georgia" w:hAnsi="Georgia"/>
          <w:b/>
          <w:bCs/>
          <w:color w:val="1C1C1E"/>
          <w:sz w:val="23"/>
          <w:szCs w:val="23"/>
        </w:rPr>
        <w:t xml:space="preserve">Automação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Fluxos automáticos de lembrete de manutenção, confirmação de agenda, reativação de pacientes inativos e follow-up pós-procedimento, via WhatsApp e CRM.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9C7A3C"/>
          <w:sz w:val="23"/>
          <w:szCs w:val="23"/>
        </w:rPr>
        <w:t xml:space="preserve">9. </w:t>
      </w:r>
      <w:r>
        <w:rPr>
          <w:rFonts w:ascii="Georgia" w:cs="Georgia" w:eastAsia="Georgia" w:hAnsi="Georgia"/>
          <w:b/>
          <w:bCs/>
          <w:color w:val="1C1C1E"/>
          <w:sz w:val="23"/>
          <w:szCs w:val="23"/>
        </w:rPr>
        <w:t xml:space="preserve">Inteligência Artificial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Atendimento inicial via WhatsApp para qualificação e agendamento, e nutrição de leads frios com conteúdo educativo automatizado.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9C7A3C"/>
          <w:sz w:val="23"/>
          <w:szCs w:val="23"/>
        </w:rPr>
        <w:t xml:space="preserve">10. </w:t>
      </w:r>
      <w:r>
        <w:rPr>
          <w:rFonts w:ascii="Georgia" w:cs="Georgia" w:eastAsia="Georgia" w:hAnsi="Georgia"/>
          <w:b/>
          <w:bCs/>
          <w:color w:val="1C1C1E"/>
          <w:sz w:val="23"/>
          <w:szCs w:val="23"/>
        </w:rPr>
        <w:t xml:space="preserve">Escala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Após validar a retenção do Plano de Manutenção: aumento gradual de investimento em mídia, programa de indicação para a base fidelizada e expansão de planos por faixa de ticket.</w:t>
      </w:r>
    </w:p>
    <w:p>
      <w:pPr>
        <w:pStyle w:val="Heading1"/>
        <w:pBdr>
          <w:bottom w:val="single" w:color="9C7A3C" w:sz="8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Cronograma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Implantação em 90 dias, seguindo o roadmap padrão do VMX Growth System.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C1C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  <w:tc>
          <w:tcPr>
            <w:tcW w:type="dxa" w:w="6800"/>
            <w:shd w:fill="1C1C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</w:tr>
      <w:tr>
        <w:tc>
          <w:tcPr>
            <w:tcW w:type="dxa" w:w="2600"/>
            <w:shd w:fill="F7F4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Semanas 1–2</w:t>
            </w:r>
          </w:p>
        </w:tc>
        <w:tc>
          <w:tcPr>
            <w:tcW w:type="dxa" w:w="6800"/>
            <w:shd w:fill="F7F4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Diagnóstico</w:t>
            </w:r>
          </w:p>
        </w:tc>
      </w:tr>
      <w:tr>
        <w:tc>
          <w:tcPr>
            <w:tcW w:type="dxa" w:w="2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Semanas 3–4</w:t>
            </w:r>
          </w:p>
        </w:tc>
        <w:tc>
          <w:tcPr>
            <w:tcW w:type="dxa" w:w="6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Posicionamento + estruturação da Oferta (Plano de Manutenção)</w:t>
            </w:r>
          </w:p>
        </w:tc>
      </w:tr>
      <w:tr>
        <w:tc>
          <w:tcPr>
            <w:tcW w:type="dxa" w:w="2600"/>
            <w:shd w:fill="F7F4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Semanas 5–6</w:t>
            </w:r>
          </w:p>
        </w:tc>
        <w:tc>
          <w:tcPr>
            <w:tcW w:type="dxa" w:w="6800"/>
            <w:shd w:fill="F7F4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Marketing (landing page e conteúdo)</w:t>
            </w:r>
          </w:p>
        </w:tc>
      </w:tr>
      <w:tr>
        <w:tc>
          <w:tcPr>
            <w:tcW w:type="dxa" w:w="2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Semanas 7–8</w:t>
            </w:r>
          </w:p>
        </w:tc>
        <w:tc>
          <w:tcPr>
            <w:tcW w:type="dxa" w:w="6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Comercial (script consultivo e treinamento da equipe)</w:t>
            </w:r>
          </w:p>
        </w:tc>
      </w:tr>
      <w:tr>
        <w:tc>
          <w:tcPr>
            <w:tcW w:type="dxa" w:w="2600"/>
            <w:shd w:fill="F7F4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Semanas 9–10</w:t>
            </w:r>
          </w:p>
        </w:tc>
        <w:tc>
          <w:tcPr>
            <w:tcW w:type="dxa" w:w="6800"/>
            <w:shd w:fill="F7F4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CRM e Automação</w:t>
            </w:r>
          </w:p>
        </w:tc>
      </w:tr>
      <w:tr>
        <w:tc>
          <w:tcPr>
            <w:tcW w:type="dxa" w:w="26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Semanas 11–12</w:t>
            </w:r>
          </w:p>
        </w:tc>
        <w:tc>
          <w:tcPr>
            <w:tcW w:type="dxa" w:w="68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Primeiros indicadores e ajustes para Escala</w:t>
            </w:r>
          </w:p>
        </w:tc>
      </w:tr>
    </w:tbl>
    <w:p>
      <w:pPr>
        <w:pStyle w:val="Heading1"/>
        <w:pBdr>
          <w:bottom w:val="single" w:color="9C7A3C" w:sz="8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Investimento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rPr>
          <w:tblHeader/>
        </w:trPr>
        <w:tc>
          <w:tcPr>
            <w:tcW w:type="dxa" w:w="4700"/>
            <w:shd w:fill="1C1C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4700"/>
            <w:shd w:fill="1C1C1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4700"/>
            <w:shd w:fill="F7F4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Honorário de implantação</w:t>
            </w:r>
          </w:p>
        </w:tc>
        <w:tc>
          <w:tcPr>
            <w:tcW w:type="dxa" w:w="4700"/>
            <w:shd w:fill="F7F4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Estruturação das 10 etapas do Growth System (etapas 1 a 10)</w:t>
            </w:r>
          </w:p>
        </w:tc>
      </w:tr>
      <w:tr>
        <w:tc>
          <w:tcPr>
            <w:tcW w:type="dxa" w:w="47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Mensalidade de gestão</w:t>
            </w:r>
          </w:p>
        </w:tc>
        <w:tc>
          <w:tcPr>
            <w:tcW w:type="dxa" w:w="4700"/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Marketing, comercial, CRM e automação em operação contínua</w:t>
            </w:r>
          </w:p>
        </w:tc>
      </w:tr>
      <w:tr>
        <w:tc>
          <w:tcPr>
            <w:tcW w:type="dxa" w:w="4700"/>
            <w:shd w:fill="F7F4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Verba de mídia paga</w:t>
            </w:r>
          </w:p>
        </w:tc>
        <w:tc>
          <w:tcPr>
            <w:tcW w:type="dxa" w:w="4700"/>
            <w:shd w:fill="F7F4E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C1C1E"/>
                <w:sz w:val="20"/>
                <w:szCs w:val="20"/>
              </w:rPr>
              <w:t xml:space="preserve">R$ 3.000 a R$ 10.000/mês — investida pelo cliente, gerida pela VMX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i/>
          <w:iCs/>
          <w:color w:val="5B5B5B"/>
          <w:sz w:val="21"/>
          <w:szCs w:val="21"/>
        </w:rPr>
        <w:t xml:space="preserve">Os valores de honorário e mensalidade são fechados após a reunião de diagnóstico, quando pipeline, conversão e ticket médio reais da clínica são conhecidos. A VMX não precifica sem diagnóstico completo.</w:t>
      </w:r>
    </w:p>
    <w:p>
      <w:pPr>
        <w:pStyle w:val="Heading1"/>
        <w:pBdr>
          <w:bottom w:val="single" w:color="9C7A3C" w:sz="8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Checklist de Implantação</w:t>
      </w:r>
    </w:p>
    <w:p>
      <w:pPr>
        <w:spacing w:after="90" w:line="280"/>
        <w:ind w:left="200"/>
      </w:pPr>
      <w:r>
        <w:rPr>
          <w:rFonts w:ascii="Calibri" w:cs="Calibri" w:eastAsia="Calibri" w:hAnsi="Calibri"/>
          <w:b/>
          <w:bCs/>
          <w:color w:val="9C7A3C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C1C1E"/>
          <w:sz w:val="21"/>
          <w:szCs w:val="21"/>
        </w:rPr>
        <w:t xml:space="preserve">Diagnóstico validado com a clínica</w:t>
      </w:r>
    </w:p>
    <w:p>
      <w:pPr>
        <w:spacing w:after="90" w:line="280"/>
        <w:ind w:left="200"/>
      </w:pPr>
      <w:r>
        <w:rPr>
          <w:rFonts w:ascii="Calibri" w:cs="Calibri" w:eastAsia="Calibri" w:hAnsi="Calibri"/>
          <w:b/>
          <w:bCs/>
          <w:color w:val="9C7A3C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C1C1E"/>
          <w:sz w:val="21"/>
          <w:szCs w:val="21"/>
        </w:rPr>
        <w:t xml:space="preserve">ICP e posicionamento documentados</w:t>
      </w:r>
    </w:p>
    <w:p>
      <w:pPr>
        <w:spacing w:after="90" w:line="280"/>
        <w:ind w:left="200"/>
      </w:pPr>
      <w:r>
        <w:rPr>
          <w:rFonts w:ascii="Calibri" w:cs="Calibri" w:eastAsia="Calibri" w:hAnsi="Calibri"/>
          <w:b/>
          <w:bCs/>
          <w:color w:val="9C7A3C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C1C1E"/>
          <w:sz w:val="21"/>
          <w:szCs w:val="21"/>
        </w:rPr>
        <w:t xml:space="preserve">Plano de Manutenção estruturado</w:t>
      </w:r>
    </w:p>
    <w:p>
      <w:pPr>
        <w:spacing w:after="90" w:line="280"/>
        <w:ind w:left="200"/>
      </w:pPr>
      <w:r>
        <w:rPr>
          <w:rFonts w:ascii="Calibri" w:cs="Calibri" w:eastAsia="Calibri" w:hAnsi="Calibri"/>
          <w:b/>
          <w:bCs/>
          <w:color w:val="9C7A3C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C1C1E"/>
          <w:sz w:val="21"/>
          <w:szCs w:val="21"/>
        </w:rPr>
        <w:t xml:space="preserve">Landing page de captação no ar</w:t>
      </w:r>
    </w:p>
    <w:p>
      <w:pPr>
        <w:spacing w:after="90" w:line="280"/>
        <w:ind w:left="200"/>
      </w:pPr>
      <w:r>
        <w:rPr>
          <w:rFonts w:ascii="Calibri" w:cs="Calibri" w:eastAsia="Calibri" w:hAnsi="Calibri"/>
          <w:b/>
          <w:bCs/>
          <w:color w:val="9C7A3C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C1C1E"/>
          <w:sz w:val="21"/>
          <w:szCs w:val="21"/>
        </w:rPr>
        <w:t xml:space="preserve">Campanhas de mídia configuradas</w:t>
      </w:r>
    </w:p>
    <w:p>
      <w:pPr>
        <w:spacing w:after="90" w:line="280"/>
        <w:ind w:left="200"/>
      </w:pPr>
      <w:r>
        <w:rPr>
          <w:rFonts w:ascii="Calibri" w:cs="Calibri" w:eastAsia="Calibri" w:hAnsi="Calibri"/>
          <w:b/>
          <w:bCs/>
          <w:color w:val="9C7A3C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C1C1E"/>
          <w:sz w:val="21"/>
          <w:szCs w:val="21"/>
        </w:rPr>
        <w:t xml:space="preserve">Script comercial consultivo treinado</w:t>
      </w:r>
    </w:p>
    <w:p>
      <w:pPr>
        <w:spacing w:after="90" w:line="280"/>
        <w:ind w:left="200"/>
      </w:pPr>
      <w:r>
        <w:rPr>
          <w:rFonts w:ascii="Calibri" w:cs="Calibri" w:eastAsia="Calibri" w:hAnsi="Calibri"/>
          <w:b/>
          <w:bCs/>
          <w:color w:val="9C7A3C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C1C1E"/>
          <w:sz w:val="21"/>
          <w:szCs w:val="21"/>
        </w:rPr>
        <w:t xml:space="preserve">CRM com pipeline, tags e campos</w:t>
      </w:r>
    </w:p>
    <w:p>
      <w:pPr>
        <w:spacing w:after="90" w:line="280"/>
        <w:ind w:left="200"/>
      </w:pPr>
      <w:r>
        <w:rPr>
          <w:rFonts w:ascii="Calibri" w:cs="Calibri" w:eastAsia="Calibri" w:hAnsi="Calibri"/>
          <w:b/>
          <w:bCs/>
          <w:color w:val="9C7A3C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C1C1E"/>
          <w:sz w:val="21"/>
          <w:szCs w:val="21"/>
        </w:rPr>
        <w:t xml:space="preserve">Automações de lembrete e reativação ativas</w:t>
      </w:r>
    </w:p>
    <w:p>
      <w:pPr>
        <w:spacing w:after="90" w:line="280"/>
        <w:ind w:left="200"/>
      </w:pPr>
      <w:r>
        <w:rPr>
          <w:rFonts w:ascii="Calibri" w:cs="Calibri" w:eastAsia="Calibri" w:hAnsi="Calibri"/>
          <w:b/>
          <w:bCs/>
          <w:color w:val="9C7A3C"/>
          <w:sz w:val="21"/>
          <w:szCs w:val="21"/>
        </w:rPr>
        <w:t xml:space="preserve">☐  </w:t>
      </w:r>
      <w:r>
        <w:rPr>
          <w:rFonts w:ascii="Calibri" w:cs="Calibri" w:eastAsia="Calibri" w:hAnsi="Calibri"/>
          <w:color w:val="1C1C1E"/>
          <w:sz w:val="21"/>
          <w:szCs w:val="21"/>
        </w:rPr>
        <w:t xml:space="preserve">Dashboard de indicadores</w:t>
      </w:r>
    </w:p>
    <w:p>
      <w:pPr>
        <w:pStyle w:val="Heading1"/>
        <w:pBdr>
          <w:bottom w:val="single" w:color="9C7A3C" w:sz="8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Indicadores de Sucesso (KPIs)</w:t>
      </w:r>
    </w:p>
    <w:p>
      <w:pPr>
        <w:spacing w:after="160" w:line="30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Acompanhamento padronizado conforme framework de KPIs da VMX, com foco central na taxa de renovação do Plano de Manutenção — indicador direto do objetivo de fidelização.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C1C1E"/>
          <w:sz w:val="21"/>
          <w:szCs w:val="21"/>
        </w:rPr>
        <w:t xml:space="preserve">CAC · CPL · LTV · Taxa de Conversão · Ticket Médio · ROI · Churn · Taxa de Renovação do Plano</w:t>
      </w:r>
    </w:p>
    <w:p>
      <w:pPr>
        <w:pStyle w:val="Heading1"/>
        <w:pBdr>
          <w:bottom w:val="single" w:color="9C7A3C" w:sz="8" w:space="6"/>
        </w:pBdr>
        <w:spacing w:after="200" w:before="500"/>
      </w:pPr>
      <w:r>
        <w:rPr>
          <w:rFonts w:ascii="Georgia" w:cs="Georgia" w:eastAsia="Georgia" w:hAnsi="Georgia"/>
          <w:b/>
          <w:bCs/>
          <w:color w:val="1C1C1E"/>
          <w:sz w:val="30"/>
          <w:szCs w:val="30"/>
        </w:rPr>
        <w:t xml:space="preserve">Próximos Passos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Reunião de diagnóstico para validar dados reais de pipeline e ticket médio.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Aprovação do desenho do Plano de Manutenção junto à clínica.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Calibri" w:cs="Calibri" w:eastAsia="Calibri" w:hAnsi="Calibri"/>
          <w:color w:val="1C1C1E"/>
          <w:sz w:val="21"/>
          <w:szCs w:val="21"/>
        </w:rPr>
        <w:t xml:space="preserve">Início da implantação — Semanas 1 e 2 do cronograma.</w:t>
      </w:r>
    </w:p>
    <w:p>
      <w:pPr>
        <w:spacing w:before="500"/>
      </w:pPr>
    </w:p>
    <w:p>
      <w:pPr>
        <w:pBdr>
          <w:bottom w:val="single" w:color="9C7A3C" w:sz="8" w:space="1"/>
        </w:pBdr>
        <w:spacing w:after="200"/>
      </w:pPr>
    </w:p>
    <w:p>
      <w:pPr>
        <w:spacing w:before="200"/>
        <w:jc w:val="center"/>
      </w:pPr>
      <w:r>
        <w:rPr>
          <w:rFonts w:ascii="Georgia" w:cs="Georgia" w:eastAsia="Georgia" w:hAnsi="Georgia"/>
          <w:b/>
          <w:bCs/>
          <w:color w:val="1C1C1E"/>
          <w:sz w:val="20"/>
          <w:szCs w:val="20"/>
        </w:rPr>
        <w:t xml:space="preserve">VMX — Consultoria de Inteligência Comercial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B5B5B"/>
          <w:sz w:val="18"/>
          <w:szCs w:val="18"/>
        </w:rPr>
        <w:t xml:space="preserve">Estratégia · Marketing · CRM · Automações · Inteligência Artificial</w:t>
      </w:r>
    </w:p>
    <w:sectPr>
      <w:footerReference w:type="default" r:id="rId7"/>
      <w:pgSz w:w="11906" w:h="16838" w:orient="portrait"/>
      <w:pgMar w:top="10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3C7" w:sz="4" w:space="6"/>
      </w:pBdr>
      <w:jc w:val="center"/>
    </w:pPr>
    <w:r>
      <w:rPr>
        <w:rFonts w:ascii="Calibri" w:cs="Calibri" w:eastAsia="Calibri" w:hAnsi="Calibri"/>
        <w:color w:val="5B5B5B"/>
        <w:sz w:val="15"/>
        <w:szCs w:val="15"/>
      </w:rPr>
      <w:t xml:space="preserve">VMX  ·  Proposta Comercial · Clínica de Estética Facial Premium  ·  </w:t>
    </w:r>
    <w:r>
      <w:rPr>
        <w:rFonts w:ascii="Calibri" w:cs="Calibri" w:eastAsia="Calibri" w:hAnsi="Calibri"/>
        <w:color w:val="5B5B5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  <w:rPr>
        <w:b/>
        <w:bCs/>
        <w:color w:val="9C7A3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C1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2026-07-22T21:25:47.367Z</dcterms:created>
  <dcterms:modified xsi:type="dcterms:W3CDTF">2026-07-22T21:25:47.367Z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