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Правила внутреннего трудового распорядка</w:t>
      </w:r>
    </w:p>
    <w:p>
      <w:pPr>
        <w:pStyle w:val="Heading1"/>
      </w:pPr>
      <w:r>
        <w:t>1. Рабочее время</w:t>
      </w:r>
    </w:p>
    <w:p>
      <w:r>
        <w:t>Рабочий день начинается в 09:00 и заканчивается в 18:00. Обеденный перерыв составляет 1 час плавающего графика в период с 12:00 до 15:00.</w:t>
      </w:r>
    </w:p>
    <w:p>
      <w:pPr>
        <w:pStyle w:val="Heading1"/>
      </w:pPr>
      <w:r>
        <w:t>2. Дресс-код</w:t>
      </w:r>
    </w:p>
    <w:p>
      <w:r>
        <w:t>В компании принят стиль Smart Casual. По пятницам допускается свободная форма одежды, если нет запланированных встреч с клиентами.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